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CDC8F" w14:textId="77777777" w:rsidR="00A92973" w:rsidRPr="00252071" w:rsidRDefault="00A92973" w:rsidP="000A73C2">
      <w:pPr>
        <w:spacing w:after="0" w:line="240" w:lineRule="auto"/>
        <w:ind w:left="936"/>
        <w:jc w:val="both"/>
        <w:rPr>
          <w:color w:val="000000" w:themeColor="text1"/>
          <w:lang w:val="en-US"/>
        </w:rPr>
      </w:pPr>
    </w:p>
    <w:p w14:paraId="673640AD" w14:textId="77777777" w:rsidR="00A92973" w:rsidRPr="00252071" w:rsidRDefault="00A92973" w:rsidP="007F7C6C">
      <w:pPr>
        <w:pStyle w:val="Heading1"/>
        <w:keepLines w:val="0"/>
        <w:numPr>
          <w:ilvl w:val="1"/>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bCs/>
          <w:color w:val="000000" w:themeColor="text1"/>
          <w:sz w:val="28"/>
          <w:szCs w:val="40"/>
          <w:u w:val="single"/>
          <w:lang w:val="en-US"/>
        </w:rPr>
      </w:pPr>
      <w:r w:rsidRPr="00252071">
        <w:rPr>
          <w:rFonts w:asciiTheme="minorHAnsi" w:hAnsiTheme="minorHAnsi"/>
          <w:bCs/>
          <w:color w:val="000000" w:themeColor="text1"/>
          <w:sz w:val="28"/>
          <w:szCs w:val="40"/>
          <w:u w:val="single"/>
          <w:lang w:val="en-US"/>
        </w:rPr>
        <w:t>REGULATION</w:t>
      </w:r>
    </w:p>
    <w:p w14:paraId="275C07E3" w14:textId="77777777" w:rsidR="00A92973" w:rsidRPr="00252071" w:rsidRDefault="00A92973" w:rsidP="000A73C2">
      <w:pPr>
        <w:spacing w:after="0" w:line="240" w:lineRule="auto"/>
        <w:ind w:left="936"/>
        <w:jc w:val="both"/>
        <w:rPr>
          <w:rFonts w:asciiTheme="minorHAnsi" w:hAnsiTheme="minorHAnsi"/>
          <w:color w:val="000000" w:themeColor="text1"/>
          <w:sz w:val="22"/>
          <w:lang w:val="en-US"/>
        </w:rPr>
      </w:pPr>
    </w:p>
    <w:p w14:paraId="10A75D8B" w14:textId="77777777" w:rsidR="00A92973" w:rsidRPr="00252071" w:rsidRDefault="00A92973" w:rsidP="000A73C2">
      <w:pPr>
        <w:numPr>
          <w:ilvl w:val="0"/>
          <w:numId w:val="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 ship may meet the </w:t>
      </w:r>
      <w:r w:rsidR="008435FF" w:rsidRPr="00252071">
        <w:rPr>
          <w:rFonts w:asciiTheme="minorHAnsi" w:hAnsiTheme="minorHAnsi"/>
          <w:color w:val="000000" w:themeColor="text1"/>
          <w:sz w:val="22"/>
        </w:rPr>
        <w:t>Sulphur</w:t>
      </w:r>
      <w:r w:rsidRPr="00252071">
        <w:rPr>
          <w:rFonts w:asciiTheme="minorHAnsi" w:hAnsiTheme="minorHAnsi"/>
          <w:color w:val="000000" w:themeColor="text1"/>
          <w:sz w:val="22"/>
        </w:rPr>
        <w:t xml:space="preserve"> content limit requirements in Regulation 14 of MARPOL Annex VI by using approved equivalent methods, such as Exhaust Gas Cleaning Systems (EGCS) or Scrubbers, which clean the emissions before they are released into the atmosphere. This approval is undertaken in accordance with Regulation 4 “equivalency” of MARPOL Annex VI. </w:t>
      </w:r>
    </w:p>
    <w:p w14:paraId="7FBC5B4F"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7807E047" w14:textId="77777777" w:rsidR="00A92973" w:rsidRPr="00252071" w:rsidRDefault="00A92973" w:rsidP="000A73C2">
      <w:pPr>
        <w:spacing w:after="0" w:line="240" w:lineRule="auto"/>
        <w:ind w:left="936"/>
        <w:jc w:val="both"/>
        <w:rPr>
          <w:rFonts w:asciiTheme="minorHAnsi" w:hAnsiTheme="minorHAnsi"/>
          <w:color w:val="000000" w:themeColor="text1"/>
          <w:sz w:val="22"/>
        </w:rPr>
      </w:pPr>
      <w:r w:rsidRPr="00252071">
        <w:rPr>
          <w:rFonts w:asciiTheme="minorHAnsi" w:hAnsiTheme="minorHAnsi"/>
          <w:color w:val="000000" w:themeColor="text1"/>
          <w:sz w:val="22"/>
        </w:rPr>
        <w:t xml:space="preserve">(Fuel oil </w:t>
      </w:r>
      <w:r w:rsidR="008435FF" w:rsidRPr="00252071">
        <w:rPr>
          <w:rFonts w:asciiTheme="minorHAnsi" w:hAnsiTheme="minorHAnsi"/>
          <w:color w:val="000000" w:themeColor="text1"/>
          <w:sz w:val="22"/>
        </w:rPr>
        <w:t>Sulphur</w:t>
      </w:r>
      <w:r w:rsidRPr="00252071">
        <w:rPr>
          <w:rFonts w:asciiTheme="minorHAnsi" w:hAnsiTheme="minorHAnsi"/>
          <w:color w:val="000000" w:themeColor="text1"/>
          <w:sz w:val="22"/>
        </w:rPr>
        <w:t xml:space="preserve"> content and corresponding emission ratio, IMO 2015 Guidelines)</w:t>
      </w:r>
    </w:p>
    <w:p w14:paraId="61340A4A" w14:textId="77777777" w:rsidR="00A92973" w:rsidRPr="00252071" w:rsidRDefault="00A92973" w:rsidP="000A73C2">
      <w:pPr>
        <w:ind w:left="-288" w:right="-576"/>
        <w:jc w:val="both"/>
        <w:rPr>
          <w:rFonts w:asciiTheme="minorHAnsi" w:hAnsiTheme="minorHAnsi"/>
          <w:color w:val="000000" w:themeColor="text1"/>
          <w:sz w:val="22"/>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790"/>
      </w:tblGrid>
      <w:tr w:rsidR="00252071" w:rsidRPr="00252071" w14:paraId="21CE4281" w14:textId="77777777" w:rsidTr="0054199E">
        <w:trPr>
          <w:trHeight w:val="269"/>
        </w:trPr>
        <w:tc>
          <w:tcPr>
            <w:tcW w:w="2970" w:type="dxa"/>
            <w:shd w:val="clear" w:color="auto" w:fill="auto"/>
          </w:tcPr>
          <w:p w14:paraId="247B9486"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 xml:space="preserve">Fuel oil </w:t>
            </w:r>
            <w:r w:rsidR="008435FF" w:rsidRPr="00252071">
              <w:rPr>
                <w:rFonts w:asciiTheme="minorHAnsi" w:hAnsiTheme="minorHAnsi"/>
                <w:color w:val="000000" w:themeColor="text1"/>
                <w:sz w:val="22"/>
              </w:rPr>
              <w:t>Sulphur</w:t>
            </w:r>
            <w:r w:rsidRPr="00252071">
              <w:rPr>
                <w:rFonts w:asciiTheme="minorHAnsi" w:hAnsiTheme="minorHAnsi"/>
                <w:color w:val="000000" w:themeColor="text1"/>
                <w:sz w:val="22"/>
              </w:rPr>
              <w:t xml:space="preserve"> content (% m/m)</w:t>
            </w:r>
          </w:p>
        </w:tc>
        <w:tc>
          <w:tcPr>
            <w:tcW w:w="2790" w:type="dxa"/>
            <w:shd w:val="clear" w:color="auto" w:fill="auto"/>
          </w:tcPr>
          <w:p w14:paraId="33FD91C7"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Ratio emission SO2 (ppm)/CO2 (% v/v)</w:t>
            </w:r>
          </w:p>
        </w:tc>
      </w:tr>
      <w:tr w:rsidR="00252071" w:rsidRPr="00252071" w14:paraId="5FD6EC07" w14:textId="77777777" w:rsidTr="0054199E">
        <w:tc>
          <w:tcPr>
            <w:tcW w:w="2970" w:type="dxa"/>
            <w:shd w:val="clear" w:color="auto" w:fill="auto"/>
          </w:tcPr>
          <w:p w14:paraId="00DA2616"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0.50</w:t>
            </w:r>
          </w:p>
        </w:tc>
        <w:tc>
          <w:tcPr>
            <w:tcW w:w="2790" w:type="dxa"/>
            <w:shd w:val="clear" w:color="auto" w:fill="auto"/>
          </w:tcPr>
          <w:p w14:paraId="4BF3B797"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21.7</w:t>
            </w:r>
          </w:p>
        </w:tc>
      </w:tr>
      <w:tr w:rsidR="00A92973" w:rsidRPr="00252071" w14:paraId="3DA9F731" w14:textId="77777777" w:rsidTr="0054199E">
        <w:tc>
          <w:tcPr>
            <w:tcW w:w="2970" w:type="dxa"/>
            <w:shd w:val="clear" w:color="auto" w:fill="auto"/>
          </w:tcPr>
          <w:p w14:paraId="5329BB7B"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0.10</w:t>
            </w:r>
          </w:p>
        </w:tc>
        <w:tc>
          <w:tcPr>
            <w:tcW w:w="2790" w:type="dxa"/>
            <w:shd w:val="clear" w:color="auto" w:fill="auto"/>
          </w:tcPr>
          <w:p w14:paraId="030A4FF4"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4.3</w:t>
            </w:r>
          </w:p>
        </w:tc>
      </w:tr>
    </w:tbl>
    <w:p w14:paraId="3C7CEB72" w14:textId="77777777" w:rsidR="00A92973" w:rsidRPr="00252071" w:rsidRDefault="00A92973" w:rsidP="000A73C2">
      <w:pPr>
        <w:ind w:left="-288" w:right="-576"/>
        <w:jc w:val="both"/>
        <w:rPr>
          <w:rFonts w:asciiTheme="minorHAnsi" w:hAnsiTheme="minorHAnsi"/>
          <w:color w:val="000000" w:themeColor="text1"/>
          <w:sz w:val="22"/>
        </w:rPr>
      </w:pPr>
    </w:p>
    <w:p w14:paraId="1F613A53" w14:textId="77777777" w:rsidR="00A92973" w:rsidRPr="00252071" w:rsidRDefault="00A92973" w:rsidP="000A73C2">
      <w:pPr>
        <w:numPr>
          <w:ilvl w:val="0"/>
          <w:numId w:val="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There is no reference to “EGCS” or “Scrubbers” in MARPOL Annex VI. Instead, the IMO 2015 Guidelines for EGCS (Res.MEPC.259(68)) provides guidance for monitoring of the SO2/CO2 content of the exhaust gas for sulphur contents of the fuel oil to ensure their equivalent compliance with the fuel oil sulphur content limits set out in Regulation 14 of MARPOL Annex VI. </w:t>
      </w:r>
    </w:p>
    <w:p w14:paraId="700747AF"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6255F3FE" w14:textId="77777777" w:rsidR="00A92973" w:rsidRPr="00252071" w:rsidRDefault="00A92973" w:rsidP="000A73C2">
      <w:pPr>
        <w:numPr>
          <w:ilvl w:val="0"/>
          <w:numId w:val="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 IMO 2015 Guidelines provide EGCS approval schemes, certification and approval process, required documentation and emission and discharge wash water criteria. </w:t>
      </w:r>
    </w:p>
    <w:p w14:paraId="167E3503"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02C4707C" w14:textId="77777777" w:rsidR="00A92973" w:rsidRPr="00252071" w:rsidRDefault="00A92973" w:rsidP="000A73C2">
      <w:pPr>
        <w:numPr>
          <w:ilvl w:val="0"/>
          <w:numId w:val="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An EGCS RECORD BOOK is made by scrubber manufacturer and approved by class. It should be maintained by the shipowner recording any kind of malfunction, maintenance and service of the unit including like-for-like replacement.</w:t>
      </w:r>
    </w:p>
    <w:p w14:paraId="451C07F5"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5F6A23B6"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bCs/>
          <w:color w:val="000000" w:themeColor="text1"/>
          <w:szCs w:val="36"/>
        </w:rPr>
      </w:pPr>
      <w:r w:rsidRPr="00252071">
        <w:rPr>
          <w:rFonts w:asciiTheme="minorHAnsi" w:hAnsiTheme="minorHAnsi"/>
          <w:bCs/>
          <w:color w:val="000000" w:themeColor="text1"/>
          <w:szCs w:val="36"/>
        </w:rPr>
        <w:t xml:space="preserve">System approval </w:t>
      </w:r>
    </w:p>
    <w:p w14:paraId="05E8E891"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532EC849" w14:textId="77777777" w:rsidR="00A92973" w:rsidRPr="00252071" w:rsidRDefault="00A92973" w:rsidP="000A73C2">
      <w:pPr>
        <w:numPr>
          <w:ilvl w:val="4"/>
          <w:numId w:val="7"/>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There are two EGCS approval methods: </w:t>
      </w:r>
    </w:p>
    <w:p w14:paraId="44C6688B"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0AA5760A" w14:textId="77777777" w:rsidR="00A92973" w:rsidRPr="00252071" w:rsidRDefault="00A92973" w:rsidP="000A73C2">
      <w:pPr>
        <w:pStyle w:val="ListParagraph"/>
        <w:numPr>
          <w:ilvl w:val="0"/>
          <w:numId w:val="8"/>
        </w:numPr>
        <w:jc w:val="both"/>
        <w:rPr>
          <w:rFonts w:asciiTheme="minorHAnsi" w:hAnsiTheme="minorHAnsi"/>
          <w:color w:val="000000" w:themeColor="text1"/>
          <w:sz w:val="22"/>
        </w:rPr>
      </w:pPr>
      <w:r w:rsidRPr="00252071">
        <w:rPr>
          <w:rFonts w:asciiTheme="minorHAnsi" w:hAnsiTheme="minorHAnsi"/>
          <w:color w:val="000000" w:themeColor="text1"/>
          <w:sz w:val="22"/>
        </w:rPr>
        <w:t xml:space="preserve">‘Scheme A’ – initial unit certification of exhaust gas cleaning performance, with continuous monitoring of operating parameters and daily emission checks; and </w:t>
      </w:r>
    </w:p>
    <w:p w14:paraId="08AE136F" w14:textId="77777777" w:rsidR="00A92973" w:rsidRPr="00252071" w:rsidRDefault="00A92973" w:rsidP="000A73C2">
      <w:pPr>
        <w:pStyle w:val="ListParagraph"/>
        <w:numPr>
          <w:ilvl w:val="0"/>
          <w:numId w:val="8"/>
        </w:numPr>
        <w:jc w:val="both"/>
        <w:rPr>
          <w:rFonts w:asciiTheme="minorHAnsi" w:hAnsiTheme="minorHAnsi"/>
          <w:color w:val="000000" w:themeColor="text1"/>
          <w:sz w:val="22"/>
        </w:rPr>
      </w:pPr>
      <w:r w:rsidRPr="00252071">
        <w:rPr>
          <w:rFonts w:asciiTheme="minorHAnsi" w:hAnsiTheme="minorHAnsi"/>
          <w:color w:val="000000" w:themeColor="text1"/>
          <w:sz w:val="22"/>
        </w:rPr>
        <w:t xml:space="preserve">‘Scheme B’ – performance certification by continuous monitoring of exhaust emissions using an approved system, with daily checks of operating parameters. </w:t>
      </w:r>
    </w:p>
    <w:p w14:paraId="192C4CD6"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538C7A78" w14:textId="77777777" w:rsidR="00A92973" w:rsidRPr="00252071" w:rsidRDefault="00A92973" w:rsidP="000A73C2">
      <w:pPr>
        <w:numPr>
          <w:ilvl w:val="4"/>
          <w:numId w:val="7"/>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Both approvals are subject to periodical survey under the IAPP Certificate.</w:t>
      </w:r>
    </w:p>
    <w:p w14:paraId="4F43276F"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5E4C9EFF" w14:textId="77777777" w:rsidR="00A92973" w:rsidRPr="00252071" w:rsidRDefault="00A92973" w:rsidP="000A73C2">
      <w:pPr>
        <w:numPr>
          <w:ilvl w:val="4"/>
          <w:numId w:val="7"/>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Most scrubbers installed on the merchant fleet are Scheme B approved. Scheme A approval is sought when the owner places a new building order for a series of the same design ships. </w:t>
      </w:r>
    </w:p>
    <w:p w14:paraId="3C7C7607"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0DC8B8C6" w14:textId="77777777" w:rsidR="00A92973" w:rsidRPr="00252071" w:rsidRDefault="00A92973" w:rsidP="000A73C2">
      <w:pPr>
        <w:numPr>
          <w:ilvl w:val="4"/>
          <w:numId w:val="7"/>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One of the significant differences between the two schemes is the continuous monitoring of exhaust emissions of operating parameters. </w:t>
      </w:r>
    </w:p>
    <w:p w14:paraId="68652951"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0BEEFAC5" w14:textId="77777777" w:rsidR="00A92973" w:rsidRPr="00252071" w:rsidRDefault="00A92973" w:rsidP="000A73C2">
      <w:pPr>
        <w:numPr>
          <w:ilvl w:val="4"/>
          <w:numId w:val="7"/>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lastRenderedPageBreak/>
        <w:t xml:space="preserve">The EU Sulphur Directive (EU 2016/802) Article 8(2) reads: “Ships using the emission abatement methods referred to in paragraph 1 shall continuously achieve reductions of sulphur dioxide emissions that are at least equivalent to the reductions that would be achieved by using marine fuels that meet the requirements of Articles 6 and 7” </w:t>
      </w:r>
    </w:p>
    <w:p w14:paraId="6A171215"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121DAA84" w14:textId="77777777" w:rsidR="00A92973" w:rsidRPr="00252071" w:rsidRDefault="00A92973" w:rsidP="000A73C2">
      <w:pPr>
        <w:numPr>
          <w:ilvl w:val="4"/>
          <w:numId w:val="7"/>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 EMSA (European Maritime Safety Agency) 2018 Sulphur Inspection Guidance (click here) further explains actions to be taken in case of the ship not continuously reducing SOx emissions. This means that the ship must continuously reduce SOx emissions achieving the equivalent emission ratio and shall be able to demonstrate the ship’s compliance in this regard. Therefore, the ability to continuously monitor the exhaust emissions is important at the time of system procurement, approval and installation. It is worth noting that in most cases, despite the </w:t>
      </w:r>
      <w:r w:rsidR="00252071" w:rsidRPr="00252071">
        <w:rPr>
          <w:rFonts w:asciiTheme="minorHAnsi" w:hAnsiTheme="minorHAnsi"/>
          <w:color w:val="000000" w:themeColor="text1"/>
          <w:sz w:val="22"/>
        </w:rPr>
        <w:t>categorization</w:t>
      </w:r>
      <w:r w:rsidRPr="00252071">
        <w:rPr>
          <w:rFonts w:asciiTheme="minorHAnsi" w:hAnsiTheme="minorHAnsi"/>
          <w:color w:val="000000" w:themeColor="text1"/>
          <w:sz w:val="22"/>
        </w:rPr>
        <w:t>, Scheme A approved scrubbers also offer the ability to continuously monitor exhaust emissions.</w:t>
      </w:r>
    </w:p>
    <w:p w14:paraId="1723393C" w14:textId="77777777" w:rsidR="00A92973" w:rsidRDefault="00A92973" w:rsidP="000A73C2">
      <w:pPr>
        <w:spacing w:after="0" w:line="240" w:lineRule="auto"/>
        <w:ind w:left="936"/>
        <w:jc w:val="both"/>
        <w:rPr>
          <w:rFonts w:asciiTheme="minorHAnsi" w:hAnsiTheme="minorHAnsi"/>
          <w:color w:val="000000" w:themeColor="text1"/>
          <w:sz w:val="22"/>
        </w:rPr>
      </w:pPr>
    </w:p>
    <w:p w14:paraId="3D577DE0" w14:textId="77777777" w:rsidR="004209D1" w:rsidRPr="00252071" w:rsidRDefault="004209D1" w:rsidP="000A73C2">
      <w:pPr>
        <w:spacing w:after="0" w:line="240" w:lineRule="auto"/>
        <w:ind w:left="936"/>
        <w:jc w:val="both"/>
        <w:rPr>
          <w:rFonts w:asciiTheme="minorHAnsi" w:hAnsiTheme="minorHAnsi"/>
          <w:color w:val="000000" w:themeColor="text1"/>
          <w:sz w:val="22"/>
        </w:rPr>
      </w:pPr>
    </w:p>
    <w:p w14:paraId="6084D45D"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bCs/>
          <w:color w:val="000000" w:themeColor="text1"/>
          <w:sz w:val="22"/>
        </w:rPr>
      </w:pPr>
      <w:r w:rsidRPr="00252071">
        <w:rPr>
          <w:rFonts w:asciiTheme="minorHAnsi" w:hAnsiTheme="minorHAnsi"/>
          <w:bCs/>
          <w:color w:val="000000" w:themeColor="text1"/>
          <w:sz w:val="22"/>
        </w:rPr>
        <w:t xml:space="preserve">Open, closed and hybrid systems </w:t>
      </w:r>
    </w:p>
    <w:p w14:paraId="62D3D364"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73619AD6" w14:textId="77777777" w:rsidR="00A92973" w:rsidRPr="00252071" w:rsidRDefault="00A92973" w:rsidP="000A73C2">
      <w:pPr>
        <w:numPr>
          <w:ilvl w:val="4"/>
          <w:numId w:val="9"/>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There are two main </w:t>
      </w:r>
      <w:r w:rsidR="00252071" w:rsidRPr="00252071">
        <w:rPr>
          <w:rFonts w:asciiTheme="minorHAnsi" w:hAnsiTheme="minorHAnsi"/>
          <w:color w:val="000000" w:themeColor="text1"/>
          <w:sz w:val="22"/>
        </w:rPr>
        <w:t>categorizations</w:t>
      </w:r>
      <w:r w:rsidRPr="00252071">
        <w:rPr>
          <w:rFonts w:asciiTheme="minorHAnsi" w:hAnsiTheme="minorHAnsi"/>
          <w:color w:val="000000" w:themeColor="text1"/>
          <w:sz w:val="22"/>
        </w:rPr>
        <w:t xml:space="preserve"> – Dry and Wet. The Wet system has three more sub-categories.</w:t>
      </w:r>
    </w:p>
    <w:p w14:paraId="027DF916" w14:textId="77777777" w:rsidR="00A92973" w:rsidRPr="00252071" w:rsidRDefault="00A92973" w:rsidP="000A73C2">
      <w:pPr>
        <w:ind w:left="-288" w:right="-576"/>
        <w:jc w:val="both"/>
        <w:rPr>
          <w:rFonts w:asciiTheme="minorHAnsi" w:hAnsiTheme="minorHAnsi"/>
          <w:color w:val="000000" w:themeColor="text1"/>
          <w:sz w:val="22"/>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2039"/>
        <w:gridCol w:w="2047"/>
        <w:gridCol w:w="2633"/>
      </w:tblGrid>
      <w:tr w:rsidR="00252071" w:rsidRPr="00252071" w14:paraId="6C81DCB5" w14:textId="77777777" w:rsidTr="0054199E">
        <w:tc>
          <w:tcPr>
            <w:tcW w:w="1953" w:type="dxa"/>
            <w:vMerge w:val="restart"/>
            <w:shd w:val="clear" w:color="auto" w:fill="auto"/>
          </w:tcPr>
          <w:p w14:paraId="35C95F7D"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Dry</w:t>
            </w:r>
          </w:p>
        </w:tc>
        <w:tc>
          <w:tcPr>
            <w:tcW w:w="7047" w:type="dxa"/>
            <w:gridSpan w:val="3"/>
            <w:shd w:val="clear" w:color="auto" w:fill="auto"/>
          </w:tcPr>
          <w:p w14:paraId="0961157C"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Wet</w:t>
            </w:r>
          </w:p>
        </w:tc>
      </w:tr>
      <w:tr w:rsidR="00A92973" w:rsidRPr="00252071" w14:paraId="1F312D44" w14:textId="77777777" w:rsidTr="0054199E">
        <w:tc>
          <w:tcPr>
            <w:tcW w:w="1953" w:type="dxa"/>
            <w:vMerge/>
            <w:shd w:val="clear" w:color="auto" w:fill="auto"/>
          </w:tcPr>
          <w:p w14:paraId="4CFD0177" w14:textId="77777777" w:rsidR="00A92973" w:rsidRPr="00252071" w:rsidRDefault="00A92973" w:rsidP="000A73C2">
            <w:pPr>
              <w:ind w:right="-576"/>
              <w:jc w:val="both"/>
              <w:rPr>
                <w:rFonts w:asciiTheme="minorHAnsi" w:hAnsiTheme="minorHAnsi"/>
                <w:color w:val="000000" w:themeColor="text1"/>
                <w:sz w:val="22"/>
              </w:rPr>
            </w:pPr>
          </w:p>
        </w:tc>
        <w:tc>
          <w:tcPr>
            <w:tcW w:w="2139" w:type="dxa"/>
            <w:shd w:val="clear" w:color="auto" w:fill="auto"/>
          </w:tcPr>
          <w:p w14:paraId="212E19DC"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Open Loop</w:t>
            </w:r>
          </w:p>
        </w:tc>
        <w:tc>
          <w:tcPr>
            <w:tcW w:w="2139" w:type="dxa"/>
            <w:shd w:val="clear" w:color="auto" w:fill="auto"/>
          </w:tcPr>
          <w:p w14:paraId="00A2C86B"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Closed Loop</w:t>
            </w:r>
          </w:p>
        </w:tc>
        <w:tc>
          <w:tcPr>
            <w:tcW w:w="2769" w:type="dxa"/>
            <w:shd w:val="clear" w:color="auto" w:fill="auto"/>
          </w:tcPr>
          <w:p w14:paraId="7FEF6CE3" w14:textId="77777777" w:rsidR="00A92973" w:rsidRPr="00252071" w:rsidRDefault="00A92973" w:rsidP="000A73C2">
            <w:pPr>
              <w:ind w:right="-576"/>
              <w:jc w:val="both"/>
              <w:rPr>
                <w:rFonts w:asciiTheme="minorHAnsi" w:hAnsiTheme="minorHAnsi"/>
                <w:color w:val="000000" w:themeColor="text1"/>
                <w:sz w:val="22"/>
              </w:rPr>
            </w:pPr>
            <w:r w:rsidRPr="00252071">
              <w:rPr>
                <w:rFonts w:asciiTheme="minorHAnsi" w:hAnsiTheme="minorHAnsi"/>
                <w:color w:val="000000" w:themeColor="text1"/>
                <w:sz w:val="22"/>
              </w:rPr>
              <w:t>Hybrid</w:t>
            </w:r>
          </w:p>
        </w:tc>
      </w:tr>
    </w:tbl>
    <w:p w14:paraId="3CA23ED4"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37511C8A" w14:textId="77777777" w:rsidR="00A92973" w:rsidRPr="00252071" w:rsidRDefault="00A92973" w:rsidP="000A73C2">
      <w:pPr>
        <w:numPr>
          <w:ilvl w:val="4"/>
          <w:numId w:val="9"/>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Currently there are local ports where operation of open-loop scrubbers is prohibited, including ports in China, Singapore, Malaysia, UAE, Belgium, Germany, Lithuania, Latvia, Ireland, Norway and the US. It’s worthwhile to note that currently the list is volatile and regularly changing.</w:t>
      </w:r>
    </w:p>
    <w:p w14:paraId="3DC0A596"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229D41F6" w14:textId="77777777" w:rsidR="00A92973" w:rsidRPr="00252071" w:rsidRDefault="00A92973" w:rsidP="000A73C2">
      <w:pPr>
        <w:numPr>
          <w:ilvl w:val="4"/>
          <w:numId w:val="9"/>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Master on ships fitted with Open Loop types Scrubbers must consult local agents without fail prior calling ports and check any local restrictions about Open-loop scrubber wash water discharges. </w:t>
      </w:r>
    </w:p>
    <w:p w14:paraId="05F84560"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208A2089" w14:textId="77777777" w:rsidR="00A92973" w:rsidRPr="00252071" w:rsidRDefault="00A92973" w:rsidP="000A73C2">
      <w:pPr>
        <w:numPr>
          <w:ilvl w:val="4"/>
          <w:numId w:val="9"/>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For vessels trading in areas where the discharge of scrubber wash water is not permitted, two options are available in order to ensure compliance with the sulphur limits, either to switch over to closed loop mode of EGCS operation in case of hybrid systems, or changeover to compliant fuel. Any changeover should be carried out well in advance of the vessel entering the areas with prohibition or restrictions in place. Early changeover is highly recommended as this may help in identifying any operational issues that may arise and to take corrective actions in a timely manner.</w:t>
      </w:r>
      <w:r w:rsidRPr="00252071">
        <w:rPr>
          <w:rFonts w:asciiTheme="minorHAnsi" w:hAnsiTheme="minorHAnsi"/>
          <w:color w:val="000000" w:themeColor="text1"/>
          <w:sz w:val="22"/>
        </w:rPr>
        <w:cr/>
      </w:r>
    </w:p>
    <w:p w14:paraId="6E0EE522" w14:textId="77777777" w:rsidR="004209D1" w:rsidRDefault="004209D1">
      <w:pPr>
        <w:rPr>
          <w:rFonts w:asciiTheme="minorHAnsi" w:eastAsia="MS Mincho" w:hAnsiTheme="minorHAnsi" w:cs="Times New Roman"/>
          <w:color w:val="000000" w:themeColor="text1"/>
          <w:sz w:val="22"/>
          <w:szCs w:val="20"/>
          <w:lang w:val="en-GB"/>
        </w:rPr>
      </w:pPr>
      <w:r>
        <w:rPr>
          <w:rFonts w:asciiTheme="minorHAnsi" w:hAnsiTheme="minorHAnsi"/>
          <w:color w:val="000000" w:themeColor="text1"/>
          <w:sz w:val="22"/>
        </w:rPr>
        <w:br w:type="page"/>
      </w:r>
    </w:p>
    <w:p w14:paraId="4C79407D" w14:textId="77777777" w:rsidR="000A73C2" w:rsidRPr="00252071" w:rsidRDefault="000A73C2" w:rsidP="000A73C2">
      <w:pPr>
        <w:spacing w:after="0" w:line="240" w:lineRule="auto"/>
        <w:jc w:val="both"/>
        <w:rPr>
          <w:rFonts w:asciiTheme="minorHAnsi" w:hAnsiTheme="minorHAnsi"/>
          <w:color w:val="000000" w:themeColor="text1"/>
          <w:sz w:val="22"/>
        </w:rPr>
      </w:pPr>
    </w:p>
    <w:p w14:paraId="62ABCE0E"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bCs/>
          <w:color w:val="000000" w:themeColor="text1"/>
          <w:sz w:val="22"/>
        </w:rPr>
      </w:pPr>
      <w:r w:rsidRPr="00252071">
        <w:rPr>
          <w:rFonts w:asciiTheme="minorHAnsi" w:hAnsiTheme="minorHAnsi"/>
          <w:bCs/>
          <w:color w:val="000000" w:themeColor="text1"/>
          <w:sz w:val="22"/>
        </w:rPr>
        <w:t xml:space="preserve">Documents required for Scheme B approved scrubber </w:t>
      </w:r>
    </w:p>
    <w:p w14:paraId="740CD656" w14:textId="77777777" w:rsidR="00A92973" w:rsidRPr="00252071" w:rsidRDefault="00A92973" w:rsidP="000A73C2">
      <w:pPr>
        <w:ind w:left="-288" w:right="-576"/>
        <w:jc w:val="both"/>
        <w:rPr>
          <w:rFonts w:asciiTheme="minorHAnsi" w:hAnsiTheme="minorHAnsi"/>
          <w:color w:val="000000" w:themeColor="text1"/>
          <w:sz w:val="22"/>
        </w:rPr>
      </w:pPr>
    </w:p>
    <w:tbl>
      <w:tblPr>
        <w:tblW w:w="90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141"/>
        <w:gridCol w:w="3087"/>
        <w:gridCol w:w="2034"/>
      </w:tblGrid>
      <w:tr w:rsidR="00252071" w:rsidRPr="00252071" w14:paraId="11A31CE0" w14:textId="77777777" w:rsidTr="000A73C2">
        <w:tc>
          <w:tcPr>
            <w:tcW w:w="828" w:type="dxa"/>
            <w:shd w:val="clear" w:color="auto" w:fill="auto"/>
          </w:tcPr>
          <w:p w14:paraId="2B87869F" w14:textId="77777777" w:rsidR="00A92973" w:rsidRPr="00252071" w:rsidRDefault="00A92973" w:rsidP="000A73C2">
            <w:pPr>
              <w:jc w:val="both"/>
              <w:rPr>
                <w:rFonts w:asciiTheme="minorHAnsi" w:hAnsiTheme="minorHAnsi"/>
                <w:color w:val="000000" w:themeColor="text1"/>
                <w:sz w:val="22"/>
              </w:rPr>
            </w:pPr>
          </w:p>
        </w:tc>
        <w:tc>
          <w:tcPr>
            <w:tcW w:w="3141" w:type="dxa"/>
            <w:shd w:val="clear" w:color="auto" w:fill="auto"/>
          </w:tcPr>
          <w:p w14:paraId="09445277"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Documents required</w:t>
            </w:r>
          </w:p>
        </w:tc>
        <w:tc>
          <w:tcPr>
            <w:tcW w:w="3087" w:type="dxa"/>
            <w:shd w:val="clear" w:color="auto" w:fill="auto"/>
          </w:tcPr>
          <w:p w14:paraId="1D1C4466"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Purpose</w:t>
            </w:r>
          </w:p>
        </w:tc>
        <w:tc>
          <w:tcPr>
            <w:tcW w:w="2034" w:type="dxa"/>
            <w:shd w:val="clear" w:color="auto" w:fill="auto"/>
          </w:tcPr>
          <w:p w14:paraId="6078B420"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Administration / RO approval is required</w:t>
            </w:r>
          </w:p>
        </w:tc>
      </w:tr>
      <w:tr w:rsidR="00252071" w:rsidRPr="00252071" w14:paraId="5196D867" w14:textId="77777777" w:rsidTr="000A73C2">
        <w:tc>
          <w:tcPr>
            <w:tcW w:w="828" w:type="dxa"/>
            <w:shd w:val="clear" w:color="auto" w:fill="auto"/>
          </w:tcPr>
          <w:p w14:paraId="39976A68"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1</w:t>
            </w:r>
          </w:p>
        </w:tc>
        <w:tc>
          <w:tcPr>
            <w:tcW w:w="3141" w:type="dxa"/>
            <w:shd w:val="clear" w:color="auto" w:fill="auto"/>
          </w:tcPr>
          <w:p w14:paraId="00D9F7FE"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SOx Emissions Compliance Plan (SECP)</w:t>
            </w:r>
          </w:p>
        </w:tc>
        <w:tc>
          <w:tcPr>
            <w:tcW w:w="3087" w:type="dxa"/>
            <w:shd w:val="clear" w:color="auto" w:fill="auto"/>
          </w:tcPr>
          <w:p w14:paraId="450B8771"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To detail the ship’s method of compliance for all fuel combustion units.</w:t>
            </w:r>
          </w:p>
        </w:tc>
        <w:tc>
          <w:tcPr>
            <w:tcW w:w="2034" w:type="dxa"/>
            <w:shd w:val="clear" w:color="auto" w:fill="auto"/>
          </w:tcPr>
          <w:p w14:paraId="6657CE6B"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Yes</w:t>
            </w:r>
          </w:p>
        </w:tc>
      </w:tr>
      <w:tr w:rsidR="00252071" w:rsidRPr="00252071" w14:paraId="78372AEB" w14:textId="77777777" w:rsidTr="000A73C2">
        <w:tc>
          <w:tcPr>
            <w:tcW w:w="828" w:type="dxa"/>
            <w:shd w:val="clear" w:color="auto" w:fill="auto"/>
          </w:tcPr>
          <w:p w14:paraId="22F8D916"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2</w:t>
            </w:r>
          </w:p>
        </w:tc>
        <w:tc>
          <w:tcPr>
            <w:tcW w:w="3141" w:type="dxa"/>
            <w:shd w:val="clear" w:color="auto" w:fill="auto"/>
          </w:tcPr>
          <w:p w14:paraId="3FACE986"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EGCS Technical Manual, Scheme B (ETM-B)</w:t>
            </w:r>
          </w:p>
        </w:tc>
        <w:tc>
          <w:tcPr>
            <w:tcW w:w="3087" w:type="dxa"/>
            <w:shd w:val="clear" w:color="auto" w:fill="auto"/>
          </w:tcPr>
          <w:p w14:paraId="67878CEC"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EGCS operating and maintenance parameters and survey procedures are recorded.</w:t>
            </w:r>
          </w:p>
        </w:tc>
        <w:tc>
          <w:tcPr>
            <w:tcW w:w="2034" w:type="dxa"/>
            <w:shd w:val="clear" w:color="auto" w:fill="auto"/>
          </w:tcPr>
          <w:p w14:paraId="5636325E"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Yes</w:t>
            </w:r>
          </w:p>
        </w:tc>
      </w:tr>
      <w:tr w:rsidR="00252071" w:rsidRPr="00252071" w14:paraId="5EF84B1F" w14:textId="77777777" w:rsidTr="000A73C2">
        <w:tc>
          <w:tcPr>
            <w:tcW w:w="828" w:type="dxa"/>
            <w:shd w:val="clear" w:color="auto" w:fill="auto"/>
          </w:tcPr>
          <w:p w14:paraId="7776735A"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3</w:t>
            </w:r>
          </w:p>
        </w:tc>
        <w:tc>
          <w:tcPr>
            <w:tcW w:w="3141" w:type="dxa"/>
            <w:shd w:val="clear" w:color="auto" w:fill="auto"/>
          </w:tcPr>
          <w:p w14:paraId="163438D0"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Onboard Monitoring Manual (OMM)</w:t>
            </w:r>
          </w:p>
        </w:tc>
        <w:tc>
          <w:tcPr>
            <w:tcW w:w="3087" w:type="dxa"/>
            <w:shd w:val="clear" w:color="auto" w:fill="auto"/>
          </w:tcPr>
          <w:p w14:paraId="6C743370"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Sensor data, positions where emission exhaust and discharge wash water measures are taken, it analyses data, monitoring system maintenance and survey procedures.</w:t>
            </w:r>
          </w:p>
        </w:tc>
        <w:tc>
          <w:tcPr>
            <w:tcW w:w="2034" w:type="dxa"/>
            <w:shd w:val="clear" w:color="auto" w:fill="auto"/>
          </w:tcPr>
          <w:p w14:paraId="40E65283"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Yes</w:t>
            </w:r>
          </w:p>
        </w:tc>
      </w:tr>
      <w:tr w:rsidR="00252071" w:rsidRPr="00252071" w14:paraId="27974A9F" w14:textId="77777777" w:rsidTr="000A73C2">
        <w:tc>
          <w:tcPr>
            <w:tcW w:w="828" w:type="dxa"/>
            <w:shd w:val="clear" w:color="auto" w:fill="auto"/>
          </w:tcPr>
          <w:p w14:paraId="7666D4CD"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4</w:t>
            </w:r>
          </w:p>
        </w:tc>
        <w:tc>
          <w:tcPr>
            <w:tcW w:w="3141" w:type="dxa"/>
            <w:shd w:val="clear" w:color="auto" w:fill="auto"/>
          </w:tcPr>
          <w:p w14:paraId="61FEB5EE"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EGC Record Book or Electronic Logging System</w:t>
            </w:r>
          </w:p>
        </w:tc>
        <w:tc>
          <w:tcPr>
            <w:tcW w:w="3087" w:type="dxa"/>
            <w:shd w:val="clear" w:color="auto" w:fill="auto"/>
          </w:tcPr>
          <w:p w14:paraId="0396563D"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Class approved Maintenance, malfunction, breakdowns, repairs and service history is recorded. This is normally supplied by EGCS maker. To be inspected by PSCOs. It may be part of the ship’s planned maintenance record system.</w:t>
            </w:r>
          </w:p>
        </w:tc>
        <w:tc>
          <w:tcPr>
            <w:tcW w:w="2034" w:type="dxa"/>
            <w:shd w:val="clear" w:color="auto" w:fill="auto"/>
          </w:tcPr>
          <w:p w14:paraId="39770F6B"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Yes</w:t>
            </w:r>
          </w:p>
        </w:tc>
      </w:tr>
      <w:tr w:rsidR="00252071" w:rsidRPr="00252071" w14:paraId="6602FEF4" w14:textId="77777777" w:rsidTr="000A73C2">
        <w:tc>
          <w:tcPr>
            <w:tcW w:w="9090" w:type="dxa"/>
            <w:gridSpan w:val="4"/>
            <w:shd w:val="clear" w:color="auto" w:fill="auto"/>
          </w:tcPr>
          <w:p w14:paraId="72168BED"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 xml:space="preserve">Note. SOx Emission Compliance Certificate (SECC) is required for Scheme A approved scrubbers only. </w:t>
            </w:r>
          </w:p>
        </w:tc>
      </w:tr>
    </w:tbl>
    <w:p w14:paraId="1BFBBA39"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2323DF8C"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bCs/>
          <w:color w:val="000000" w:themeColor="text1"/>
          <w:szCs w:val="36"/>
        </w:rPr>
      </w:pPr>
      <w:r w:rsidRPr="00252071">
        <w:rPr>
          <w:rFonts w:asciiTheme="minorHAnsi" w:hAnsiTheme="minorHAnsi"/>
          <w:bCs/>
          <w:color w:val="000000" w:themeColor="text1"/>
          <w:szCs w:val="36"/>
        </w:rPr>
        <w:t>Scrubbers for SOx Reduction</w:t>
      </w:r>
    </w:p>
    <w:p w14:paraId="3243B23C"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6A19805C" w14:textId="77777777" w:rsidR="00A92973" w:rsidRPr="00252071" w:rsidRDefault="00A92973" w:rsidP="000A73C2">
      <w:pPr>
        <w:numPr>
          <w:ilvl w:val="4"/>
          <w:numId w:val="10"/>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The scrubbers installed on fleet vessels may be of different make and type. First &amp; foremost the Scrubber manuals should be referred for operational &amp; maintenance guidelines and the ship specific PMS routines should be established.</w:t>
      </w:r>
    </w:p>
    <w:p w14:paraId="6F5E3E15"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0D80A4B7" w14:textId="77777777" w:rsidR="00A92973" w:rsidRPr="00252071" w:rsidRDefault="00A92973" w:rsidP="000A73C2">
      <w:pPr>
        <w:numPr>
          <w:ilvl w:val="4"/>
          <w:numId w:val="10"/>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In case of any trouble, the fault finding should be done as per the details given in the manufacturer’s manuals. </w:t>
      </w:r>
    </w:p>
    <w:p w14:paraId="1B3BC857" w14:textId="77777777" w:rsidR="00A92973" w:rsidRPr="00252071" w:rsidRDefault="00A92973" w:rsidP="000A73C2">
      <w:pPr>
        <w:spacing w:after="0" w:line="240" w:lineRule="auto"/>
        <w:jc w:val="both"/>
        <w:rPr>
          <w:rFonts w:asciiTheme="minorHAnsi" w:hAnsiTheme="minorHAnsi"/>
          <w:color w:val="000000" w:themeColor="text1"/>
          <w:sz w:val="22"/>
        </w:rPr>
      </w:pPr>
    </w:p>
    <w:p w14:paraId="5F816C7F"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bCs/>
          <w:color w:val="000000" w:themeColor="text1"/>
          <w:szCs w:val="36"/>
        </w:rPr>
      </w:pPr>
      <w:r w:rsidRPr="00252071">
        <w:rPr>
          <w:rFonts w:asciiTheme="minorHAnsi" w:hAnsiTheme="minorHAnsi"/>
          <w:bCs/>
          <w:color w:val="000000" w:themeColor="text1"/>
          <w:szCs w:val="36"/>
        </w:rPr>
        <w:t>Bunker Delivery Note (BDN)</w:t>
      </w:r>
    </w:p>
    <w:p w14:paraId="032C3B80" w14:textId="77777777" w:rsidR="00A92973" w:rsidRPr="00252071" w:rsidRDefault="00A92973" w:rsidP="000A73C2">
      <w:pPr>
        <w:spacing w:after="0" w:line="240" w:lineRule="auto"/>
        <w:jc w:val="both"/>
        <w:rPr>
          <w:rFonts w:asciiTheme="minorHAnsi" w:hAnsiTheme="minorHAnsi"/>
          <w:color w:val="000000" w:themeColor="text1"/>
          <w:sz w:val="22"/>
        </w:rPr>
      </w:pPr>
    </w:p>
    <w:p w14:paraId="52F35E89" w14:textId="77777777" w:rsidR="00A92973" w:rsidRPr="00252071" w:rsidRDefault="00A92973" w:rsidP="000A73C2">
      <w:pPr>
        <w:numPr>
          <w:ilvl w:val="4"/>
          <w:numId w:val="11"/>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Amendments to the BDN (Res.MEPC.286(71)) restricts supply of HSFOs only to those ships which have an alternative means of compliance (e.g. EGCS). It entered into force on 1 January 2019. (</w:t>
      </w:r>
      <w:r w:rsidRPr="00252071">
        <w:rPr>
          <w:rFonts w:asciiTheme="minorHAnsi" w:hAnsiTheme="minorHAnsi"/>
          <w:i/>
          <w:color w:val="000000" w:themeColor="text1"/>
          <w:sz w:val="22"/>
        </w:rPr>
        <w:t>Refer ERP 5.4.1.1.1)</w:t>
      </w:r>
    </w:p>
    <w:p w14:paraId="5D7EA116" w14:textId="77777777" w:rsidR="00A92973" w:rsidRPr="00252071" w:rsidRDefault="00A92973" w:rsidP="000A73C2">
      <w:pPr>
        <w:spacing w:after="0" w:line="240" w:lineRule="auto"/>
        <w:jc w:val="both"/>
        <w:rPr>
          <w:rFonts w:asciiTheme="minorHAnsi" w:hAnsiTheme="minorHAnsi"/>
          <w:color w:val="000000" w:themeColor="text1"/>
          <w:sz w:val="22"/>
        </w:rPr>
      </w:pPr>
    </w:p>
    <w:p w14:paraId="5DF6A860" w14:textId="77777777" w:rsidR="00A92973" w:rsidRPr="00252071" w:rsidRDefault="00A92973" w:rsidP="000A73C2">
      <w:pPr>
        <w:numPr>
          <w:ilvl w:val="4"/>
          <w:numId w:val="11"/>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When asked to provide fuel oil exceeding the sulphur limit in Regulation 14.1 to a ship, the suppliers, prior to delivery, should receive notification from the buyer that the fuel is intended to be used in compliance with the regulation, e.g. the ship has an approved EGCS. </w:t>
      </w:r>
    </w:p>
    <w:p w14:paraId="5AA64D7B" w14:textId="77777777" w:rsidR="00A92973" w:rsidRPr="00252071" w:rsidRDefault="00A92973" w:rsidP="000A73C2">
      <w:pPr>
        <w:spacing w:after="0" w:line="240" w:lineRule="auto"/>
        <w:jc w:val="both"/>
        <w:rPr>
          <w:rFonts w:asciiTheme="minorHAnsi" w:hAnsiTheme="minorHAnsi"/>
          <w:b/>
          <w:color w:val="000000" w:themeColor="text1"/>
          <w:sz w:val="22"/>
          <w:lang w:val="en-SG" w:eastAsia="ja-JP"/>
        </w:rPr>
      </w:pPr>
    </w:p>
    <w:p w14:paraId="38F74306"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color w:val="000000" w:themeColor="text1"/>
          <w:szCs w:val="36"/>
          <w:lang w:val="en-SG" w:eastAsia="ja-JP"/>
        </w:rPr>
      </w:pPr>
      <w:r w:rsidRPr="00252071">
        <w:rPr>
          <w:rFonts w:asciiTheme="minorHAnsi" w:hAnsiTheme="minorHAnsi"/>
          <w:color w:val="000000" w:themeColor="text1"/>
          <w:szCs w:val="36"/>
          <w:lang w:val="en-SG" w:eastAsia="ja-JP"/>
        </w:rPr>
        <w:t>Wash water Discharge &amp; Monitoring Criteria</w:t>
      </w:r>
    </w:p>
    <w:p w14:paraId="00D300C5"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39D132E6" w14:textId="77777777" w:rsidR="00A92973" w:rsidRPr="00252071" w:rsidRDefault="00A92973" w:rsidP="000A73C2">
      <w:pPr>
        <w:pStyle w:val="Heading1"/>
        <w:keepLines w:val="0"/>
        <w:numPr>
          <w:ilvl w:val="3"/>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Cs/>
          <w:color w:val="000000" w:themeColor="text1"/>
          <w:sz w:val="22"/>
          <w:u w:val="single"/>
          <w:lang w:val="en-SG" w:eastAsia="ja-JP"/>
        </w:rPr>
      </w:pPr>
      <w:r w:rsidRPr="00252071">
        <w:rPr>
          <w:rFonts w:asciiTheme="minorHAnsi" w:hAnsiTheme="minorHAnsi"/>
          <w:bCs/>
          <w:color w:val="000000" w:themeColor="text1"/>
          <w:sz w:val="22"/>
          <w:u w:val="single"/>
          <w:lang w:val="en-SG" w:eastAsia="ja-JP"/>
        </w:rPr>
        <w:t>Ph and PAH Concentration</w:t>
      </w:r>
    </w:p>
    <w:p w14:paraId="299A7747"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25DE95F1" w14:textId="77777777" w:rsidR="00A92973" w:rsidRPr="00252071" w:rsidRDefault="00A92973" w:rsidP="000A73C2">
      <w:pPr>
        <w:numPr>
          <w:ilvl w:val="4"/>
          <w:numId w:val="12"/>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The IMO guideline recommends pH, PAH concentration (POLYCYCLIC AROMATIC HYDROCARBONS), turbidity and temperature should be continuously monitored and recorded when the EGCS is operated in ports, harbours, or estuaries. In other areas, these parameters should be continuously monitored and recorded whenever the EGCS is in operation, except for short periods of maintenance and cleaning of the equipment.</w:t>
      </w:r>
    </w:p>
    <w:p w14:paraId="672B0C66"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79879AB0" w14:textId="77777777" w:rsidR="00A92973" w:rsidRPr="00252071" w:rsidRDefault="00A92973" w:rsidP="000A73C2">
      <w:pPr>
        <w:numPr>
          <w:ilvl w:val="4"/>
          <w:numId w:val="12"/>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Continuous discharge limits - Discharge of wastewater inside the port limits is prohibited in some ports hence it is prudent to check with the agents for any such restrictions. If discharge is allowed, then following discharge criteria is applicable </w:t>
      </w:r>
    </w:p>
    <w:p w14:paraId="624658E2"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3FCCB530" w14:textId="77777777" w:rsidR="00A92973" w:rsidRPr="00252071" w:rsidRDefault="00A92973" w:rsidP="000A73C2">
      <w:pPr>
        <w:numPr>
          <w:ilvl w:val="4"/>
          <w:numId w:val="12"/>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pH - The discharge wash water should have a pH of no less than 6.5 and 6.0 for US VGP waters measured at the ship’s overboard discharge with the exception that during manoeuvring and transit, a maximum difference of 2 pH is allowed between the ship’s inlet and overboard discharge; </w:t>
      </w:r>
    </w:p>
    <w:p w14:paraId="2B4FB92C" w14:textId="77777777" w:rsidR="00A92973" w:rsidRPr="00252071" w:rsidRDefault="00A92973" w:rsidP="000A73C2">
      <w:pPr>
        <w:spacing w:after="0" w:line="240" w:lineRule="auto"/>
        <w:jc w:val="both"/>
        <w:rPr>
          <w:rStyle w:val="5yl5"/>
          <w:rFonts w:asciiTheme="minorHAnsi" w:hAnsiTheme="minorHAnsi"/>
          <w:color w:val="000000" w:themeColor="text1"/>
          <w:sz w:val="22"/>
        </w:rPr>
      </w:pPr>
    </w:p>
    <w:p w14:paraId="2C7F9272" w14:textId="77777777" w:rsidR="00A92973" w:rsidRPr="00252071" w:rsidRDefault="00A92973" w:rsidP="000A73C2">
      <w:pPr>
        <w:spacing w:after="0" w:line="240" w:lineRule="auto"/>
        <w:ind w:left="720"/>
        <w:jc w:val="both"/>
        <w:rPr>
          <w:rFonts w:asciiTheme="minorHAnsi" w:eastAsia="Times New Roman" w:hAnsiTheme="minorHAnsi"/>
          <w:color w:val="000000" w:themeColor="text1"/>
          <w:sz w:val="22"/>
          <w:lang w:val="en-SG"/>
        </w:rPr>
      </w:pPr>
    </w:p>
    <w:p w14:paraId="3521E180" w14:textId="77777777" w:rsidR="00A92973" w:rsidRPr="008435FF" w:rsidRDefault="004209D1"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olor w:val="000000" w:themeColor="text1"/>
          <w:szCs w:val="36"/>
        </w:rPr>
      </w:pPr>
      <w:r w:rsidRPr="008435FF">
        <w:rPr>
          <w:rFonts w:asciiTheme="minorHAnsi" w:hAnsiTheme="minorHAnsi"/>
          <w:szCs w:val="36"/>
        </w:rPr>
        <w:t>Please refer to guidelines stated by MEPC 259 (68) 10.1.2 pH criteria</w:t>
      </w:r>
    </w:p>
    <w:p w14:paraId="6FD4CD47" w14:textId="77777777" w:rsidR="00A92973" w:rsidRPr="008435FF" w:rsidRDefault="00A92973" w:rsidP="000A73C2">
      <w:pPr>
        <w:spacing w:after="0" w:line="240" w:lineRule="auto"/>
        <w:jc w:val="both"/>
        <w:rPr>
          <w:color w:val="000000" w:themeColor="text1"/>
        </w:rPr>
      </w:pPr>
    </w:p>
    <w:p w14:paraId="51D41E91" w14:textId="77777777" w:rsidR="00A92973" w:rsidRPr="004209D1" w:rsidRDefault="004209D1" w:rsidP="004209D1">
      <w:pPr>
        <w:pStyle w:val="ListParagraph"/>
        <w:ind w:left="936"/>
        <w:jc w:val="both"/>
        <w:rPr>
          <w:rFonts w:asciiTheme="minorHAnsi" w:hAnsiTheme="minorHAnsi"/>
          <w:b/>
          <w:bCs/>
          <w:color w:val="000000" w:themeColor="text1"/>
          <w:sz w:val="22"/>
        </w:rPr>
      </w:pPr>
      <w:r w:rsidRPr="008435FF">
        <w:rPr>
          <w:rFonts w:asciiTheme="minorHAnsi" w:hAnsiTheme="minorHAnsi"/>
          <w:sz w:val="22"/>
        </w:rPr>
        <w:t>10.2.1</w:t>
      </w:r>
      <w:r w:rsidRPr="004209D1">
        <w:rPr>
          <w:rFonts w:asciiTheme="minorHAnsi" w:hAnsiTheme="minorHAnsi"/>
          <w:color w:val="FF0000"/>
          <w:sz w:val="22"/>
        </w:rPr>
        <w:t xml:space="preserve"> </w:t>
      </w:r>
      <w:r w:rsidR="00A92973" w:rsidRPr="004209D1">
        <w:rPr>
          <w:rFonts w:asciiTheme="minorHAnsi" w:hAnsiTheme="minorHAnsi"/>
          <w:color w:val="000000" w:themeColor="text1"/>
          <w:sz w:val="22"/>
        </w:rPr>
        <w:t>The wash water pH should comply with one of the following requirements which should be recorded in the ETM-A or ETM-B</w:t>
      </w:r>
      <w:r w:rsidR="00A92973" w:rsidRPr="004209D1">
        <w:rPr>
          <w:rFonts w:asciiTheme="minorHAnsi" w:hAnsiTheme="minorHAnsi"/>
          <w:bCs/>
          <w:color w:val="000000" w:themeColor="text1"/>
          <w:sz w:val="22"/>
        </w:rPr>
        <w:t xml:space="preserve"> as applicable: </w:t>
      </w:r>
    </w:p>
    <w:p w14:paraId="51A59198" w14:textId="77777777" w:rsidR="00A92973" w:rsidRPr="00252071" w:rsidRDefault="00A92973" w:rsidP="000A73C2">
      <w:pPr>
        <w:spacing w:after="0" w:line="240" w:lineRule="auto"/>
        <w:jc w:val="both"/>
        <w:rPr>
          <w:color w:val="000000" w:themeColor="text1"/>
        </w:rPr>
      </w:pPr>
    </w:p>
    <w:p w14:paraId="57CF43CB" w14:textId="77777777" w:rsidR="00A92973" w:rsidRPr="00252071" w:rsidRDefault="00A92973" w:rsidP="004209D1">
      <w:pPr>
        <w:pStyle w:val="ListParagraph"/>
        <w:ind w:left="936"/>
        <w:jc w:val="both"/>
        <w:rPr>
          <w:rFonts w:asciiTheme="minorHAnsi" w:hAnsiTheme="minorHAnsi"/>
          <w:color w:val="000000" w:themeColor="text1"/>
          <w:sz w:val="22"/>
        </w:rPr>
      </w:pPr>
      <w:r w:rsidRPr="00252071">
        <w:rPr>
          <w:rFonts w:asciiTheme="minorHAnsi" w:hAnsiTheme="minorHAnsi"/>
          <w:color w:val="000000" w:themeColor="text1"/>
          <w:sz w:val="22"/>
        </w:rPr>
        <w:t xml:space="preserve">.2 The pH </w:t>
      </w:r>
      <w:r w:rsidRPr="004209D1">
        <w:rPr>
          <w:rFonts w:asciiTheme="minorHAnsi" w:hAnsiTheme="minorHAnsi"/>
          <w:sz w:val="22"/>
        </w:rPr>
        <w:t>discharge</w:t>
      </w:r>
      <w:r w:rsidRPr="00252071">
        <w:rPr>
          <w:rFonts w:asciiTheme="minorHAnsi" w:hAnsiTheme="minorHAnsi"/>
          <w:color w:val="000000" w:themeColor="text1"/>
          <w:sz w:val="22"/>
        </w:rPr>
        <w:t xml:space="preserve"> limit, at the overboard monitoring position, is the value that will achieve as a minimum pH 6.5 at 4 m from the overboard discharge point with the ship stationary, and which is to be recorded as the overboard pH discharge limit in the ETM-A or ETM-B. The overboard pH discharge limit can be determined either by means of direct measurement, or by using a calculation-based methodology (computational fluid dynamics or other equally scientifically established empirical formulae) to be left to the approval by the Administration, and in accordance with the following conditions to be recorded in the ETM-A or ETM-B: </w:t>
      </w:r>
    </w:p>
    <w:p w14:paraId="456898D7"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58BC3EA1" w14:textId="77777777" w:rsidR="00A92973" w:rsidRPr="00252071" w:rsidRDefault="00A92973" w:rsidP="004209D1">
      <w:pPr>
        <w:pStyle w:val="ListParagraph"/>
        <w:ind w:left="936"/>
        <w:jc w:val="both"/>
        <w:rPr>
          <w:rFonts w:asciiTheme="minorHAnsi" w:hAnsiTheme="minorHAnsi"/>
          <w:color w:val="000000" w:themeColor="text1"/>
          <w:sz w:val="22"/>
        </w:rPr>
      </w:pPr>
      <w:r w:rsidRPr="00252071">
        <w:rPr>
          <w:rFonts w:asciiTheme="minorHAnsi" w:hAnsiTheme="minorHAnsi"/>
          <w:color w:val="000000" w:themeColor="text1"/>
          <w:sz w:val="22"/>
        </w:rPr>
        <w:t xml:space="preserve">.1 all </w:t>
      </w:r>
      <w:r w:rsidRPr="00252071">
        <w:rPr>
          <w:rStyle w:val="5yl5"/>
          <w:color w:val="000000" w:themeColor="text1"/>
        </w:rPr>
        <w:t>EGC</w:t>
      </w:r>
      <w:r w:rsidRPr="00252071">
        <w:rPr>
          <w:rFonts w:asciiTheme="minorHAnsi" w:hAnsiTheme="minorHAnsi"/>
          <w:color w:val="000000" w:themeColor="text1"/>
          <w:sz w:val="22"/>
        </w:rPr>
        <w:t xml:space="preserve"> </w:t>
      </w:r>
      <w:r w:rsidRPr="004209D1">
        <w:rPr>
          <w:rFonts w:asciiTheme="minorHAnsi" w:hAnsiTheme="minorHAnsi"/>
          <w:sz w:val="22"/>
        </w:rPr>
        <w:t>units</w:t>
      </w:r>
      <w:r w:rsidRPr="00252071">
        <w:rPr>
          <w:rFonts w:asciiTheme="minorHAnsi" w:hAnsiTheme="minorHAnsi"/>
          <w:color w:val="000000" w:themeColor="text1"/>
          <w:sz w:val="22"/>
        </w:rPr>
        <w:t xml:space="preserve"> connected to the same outlets are operating at their full loads (or highest practicable load) and with the fuel oil of a maximum sulphur content for which the units are to be certified (Scheme A) or used with (Scheme B);</w:t>
      </w:r>
    </w:p>
    <w:p w14:paraId="48BB8E1D"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5E47D064" w14:textId="77777777" w:rsidR="00A92973" w:rsidRPr="00252071" w:rsidRDefault="00A92973" w:rsidP="004209D1">
      <w:pPr>
        <w:pStyle w:val="ListParagraph"/>
        <w:ind w:left="936"/>
        <w:jc w:val="both"/>
        <w:rPr>
          <w:rFonts w:asciiTheme="minorHAnsi" w:hAnsiTheme="minorHAnsi"/>
          <w:color w:val="000000" w:themeColor="text1"/>
          <w:sz w:val="22"/>
        </w:rPr>
      </w:pPr>
      <w:r w:rsidRPr="00252071">
        <w:rPr>
          <w:rFonts w:asciiTheme="minorHAnsi" w:hAnsiTheme="minorHAnsi"/>
          <w:color w:val="000000" w:themeColor="text1"/>
          <w:sz w:val="22"/>
        </w:rPr>
        <w:t xml:space="preserve">.2 if a test </w:t>
      </w:r>
      <w:r w:rsidRPr="004209D1">
        <w:rPr>
          <w:rFonts w:asciiTheme="minorHAnsi" w:hAnsiTheme="minorHAnsi"/>
          <w:sz w:val="22"/>
        </w:rPr>
        <w:t>fuel</w:t>
      </w:r>
      <w:r w:rsidRPr="00252071">
        <w:rPr>
          <w:rFonts w:asciiTheme="minorHAnsi" w:hAnsiTheme="minorHAnsi"/>
          <w:color w:val="000000" w:themeColor="text1"/>
          <w:sz w:val="22"/>
        </w:rPr>
        <w:t xml:space="preserve"> with lower sulphur content, and/or test load lower than maximum, enough for demonstrating the </w:t>
      </w:r>
      <w:r w:rsidR="00252071" w:rsidRPr="00252071">
        <w:rPr>
          <w:rFonts w:asciiTheme="minorHAnsi" w:hAnsiTheme="minorHAnsi"/>
          <w:color w:val="000000" w:themeColor="text1"/>
          <w:sz w:val="22"/>
        </w:rPr>
        <w:t>behavior</w:t>
      </w:r>
      <w:r w:rsidRPr="00252071">
        <w:rPr>
          <w:rFonts w:asciiTheme="minorHAnsi" w:hAnsiTheme="minorHAnsi"/>
          <w:color w:val="000000" w:themeColor="text1"/>
          <w:sz w:val="22"/>
        </w:rPr>
        <w:t xml:space="preserve"> of the wash water plume is used, the plume's mixing ratio must be established based on the titration curve of seawater. The mixing ratio would be used to demonstrate the </w:t>
      </w:r>
      <w:r w:rsidR="00252071" w:rsidRPr="00252071">
        <w:rPr>
          <w:rFonts w:asciiTheme="minorHAnsi" w:hAnsiTheme="minorHAnsi"/>
          <w:color w:val="000000" w:themeColor="text1"/>
          <w:sz w:val="22"/>
        </w:rPr>
        <w:t>behavior</w:t>
      </w:r>
      <w:r w:rsidRPr="00252071">
        <w:rPr>
          <w:rFonts w:asciiTheme="minorHAnsi" w:hAnsiTheme="minorHAnsi"/>
          <w:color w:val="000000" w:themeColor="text1"/>
          <w:sz w:val="22"/>
        </w:rPr>
        <w:t xml:space="preserve"> of the wash water plume and that the overboard pH discharge limit has been met if the EGC system is operated at the highest fuel sulphur content and load for which the EGC system is certified (Scheme A) or used with (Scheme B); </w:t>
      </w:r>
    </w:p>
    <w:p w14:paraId="04126EB7"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522E028D" w14:textId="77777777" w:rsidR="00A92973" w:rsidRPr="00252071" w:rsidRDefault="00A92973" w:rsidP="000A73C2">
      <w:pPr>
        <w:spacing w:after="0" w:line="240" w:lineRule="auto"/>
        <w:ind w:left="720"/>
        <w:jc w:val="both"/>
        <w:rPr>
          <w:rFonts w:asciiTheme="minorHAnsi" w:hAnsiTheme="minorHAnsi"/>
          <w:color w:val="000000" w:themeColor="text1"/>
          <w:sz w:val="22"/>
        </w:rPr>
      </w:pPr>
      <w:r w:rsidRPr="00252071">
        <w:rPr>
          <w:rFonts w:asciiTheme="minorHAnsi" w:hAnsiTheme="minorHAnsi"/>
          <w:color w:val="000000" w:themeColor="text1"/>
          <w:sz w:val="22"/>
        </w:rPr>
        <w:t xml:space="preserve">.3 </w:t>
      </w:r>
      <w:r w:rsidRPr="00252071">
        <w:rPr>
          <w:rStyle w:val="5yl5"/>
          <w:color w:val="000000" w:themeColor="text1"/>
        </w:rPr>
        <w:t>where</w:t>
      </w:r>
      <w:r w:rsidRPr="00252071">
        <w:rPr>
          <w:rFonts w:asciiTheme="minorHAnsi" w:hAnsiTheme="minorHAnsi"/>
          <w:color w:val="000000" w:themeColor="text1"/>
          <w:sz w:val="22"/>
        </w:rPr>
        <w:t xml:space="preserve"> the wash water flow rate is varied in accordance with the EGC system gas flow rate, the implications of this for the part load performance should also be evaluated to ensure that the overboard pH discharge limit is met under any load;</w:t>
      </w:r>
    </w:p>
    <w:p w14:paraId="4A24AB2C"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7BC7898D" w14:textId="77777777" w:rsidR="00A92973" w:rsidRPr="00252071" w:rsidRDefault="00A92973" w:rsidP="000A73C2">
      <w:pPr>
        <w:spacing w:after="0" w:line="240" w:lineRule="auto"/>
        <w:ind w:left="720"/>
        <w:jc w:val="both"/>
        <w:rPr>
          <w:rFonts w:asciiTheme="minorHAnsi" w:hAnsiTheme="minorHAnsi"/>
          <w:color w:val="000000" w:themeColor="text1"/>
          <w:sz w:val="22"/>
        </w:rPr>
      </w:pPr>
      <w:r w:rsidRPr="00252071">
        <w:rPr>
          <w:rFonts w:asciiTheme="minorHAnsi" w:hAnsiTheme="minorHAnsi"/>
          <w:color w:val="000000" w:themeColor="text1"/>
          <w:sz w:val="22"/>
        </w:rPr>
        <w:t xml:space="preserve">.4 reference should be made to a sea-water alkalinity of 2,200 μmol/litre and pH 8.22; an amended titration curve should be applied where the testing conditions differ from the reference seawater, as agreed by the Administration; and </w:t>
      </w:r>
    </w:p>
    <w:p w14:paraId="30F4ECDF"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3F2FEA39" w14:textId="77777777" w:rsidR="00A92973" w:rsidRPr="00252071" w:rsidRDefault="00A92973" w:rsidP="000A73C2">
      <w:pPr>
        <w:spacing w:after="0" w:line="240" w:lineRule="auto"/>
        <w:ind w:left="720"/>
        <w:jc w:val="both"/>
        <w:rPr>
          <w:rFonts w:asciiTheme="minorHAnsi" w:hAnsiTheme="minorHAnsi"/>
          <w:color w:val="000000" w:themeColor="text1"/>
          <w:sz w:val="22"/>
        </w:rPr>
      </w:pPr>
      <w:r w:rsidRPr="00252071">
        <w:rPr>
          <w:rFonts w:asciiTheme="minorHAnsi" w:hAnsiTheme="minorHAnsi"/>
          <w:color w:val="000000" w:themeColor="text1"/>
          <w:sz w:val="22"/>
        </w:rPr>
        <w:t>.5 if a calculation-based methodology is to be used, details to allow its verification such as but not limited to supporting scientific formulae, discharge point specification, wash water discharge flow rates, designed pH values at both the discharge and 4 m location, titration and dilution data should be submitted.</w:t>
      </w:r>
    </w:p>
    <w:p w14:paraId="2C3963ED" w14:textId="77777777" w:rsidR="00A92973" w:rsidRPr="00252071" w:rsidRDefault="00A92973" w:rsidP="000A73C2">
      <w:pPr>
        <w:spacing w:after="0" w:line="240" w:lineRule="auto"/>
        <w:ind w:left="720"/>
        <w:jc w:val="both"/>
        <w:rPr>
          <w:rFonts w:asciiTheme="minorHAnsi" w:eastAsia="Times New Roman" w:hAnsiTheme="minorHAnsi"/>
          <w:color w:val="000000" w:themeColor="text1"/>
          <w:sz w:val="22"/>
          <w:lang w:val="en-SG"/>
        </w:rPr>
      </w:pPr>
    </w:p>
    <w:p w14:paraId="30BB3F0F" w14:textId="77777777" w:rsidR="00A92973" w:rsidRPr="00252071" w:rsidRDefault="00A92973" w:rsidP="000A73C2">
      <w:pPr>
        <w:numPr>
          <w:ilvl w:val="4"/>
          <w:numId w:val="13"/>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PAHs - The maximum continuous PAH concentration in the discharged wash water should not be greater than 50 μg/L phenanthrene equivalence (PAHphe) above the inlet water PAH concentration. For the purposes of this criteria, the PAH concentration in the wash water should be measured downstream of the water treatment equipment but upstream of any wash water dilution or other reactant dosing unit, if used, prior to discharge. The 50 μg/L limit is normalized for a wash water flow rate through the EGCS unit of 45 tons/MWh. This limit should be adjusted for wash water flow rates, as shown in Table 1.</w:t>
      </w:r>
    </w:p>
    <w:p w14:paraId="1A6EF2A0"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2D5EA53D" w14:textId="77777777" w:rsidR="00A92973" w:rsidRPr="00252071" w:rsidRDefault="00A92973" w:rsidP="000A73C2">
      <w:pPr>
        <w:numPr>
          <w:ilvl w:val="4"/>
          <w:numId w:val="13"/>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For a 15-minute period in any 12-hour period, the continuous PAHphe concentration limit may exceed the limit described above by up to 100 percent, to allow for an abnormal start-up of the EGCS (Resolution MEPC.184(59)).</w:t>
      </w:r>
    </w:p>
    <w:p w14:paraId="22F5E915"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4EFB8EE3" w14:textId="77777777" w:rsidR="00A92973" w:rsidRPr="00252071" w:rsidRDefault="00A92973" w:rsidP="000A73C2">
      <w:pPr>
        <w:pStyle w:val="Heading1"/>
        <w:keepLines w:val="0"/>
        <w:numPr>
          <w:ilvl w:val="3"/>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Cs/>
          <w:color w:val="000000" w:themeColor="text1"/>
          <w:sz w:val="22"/>
          <w:u w:val="single"/>
          <w:lang w:val="en-SG" w:eastAsia="ja-JP"/>
        </w:rPr>
      </w:pPr>
      <w:r w:rsidRPr="00252071">
        <w:rPr>
          <w:rFonts w:asciiTheme="minorHAnsi" w:hAnsiTheme="minorHAnsi"/>
          <w:bCs/>
          <w:color w:val="000000" w:themeColor="text1"/>
          <w:sz w:val="22"/>
          <w:u w:val="single"/>
          <w:lang w:val="en-SG" w:eastAsia="ja-JP"/>
        </w:rPr>
        <w:t xml:space="preserve">Turbidity/Suspended Particulate Matter (Solids) </w:t>
      </w:r>
    </w:p>
    <w:p w14:paraId="23A58683"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20262695" w14:textId="77777777" w:rsidR="00A92973" w:rsidRPr="00252071" w:rsidRDefault="00A92973" w:rsidP="000A73C2">
      <w:pPr>
        <w:numPr>
          <w:ilvl w:val="4"/>
          <w:numId w:val="14"/>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The wash water treatment system should be designed to minimize suspended PM, including heavy metals and ash. The maximum continuous turbidity in wash water should not be greater than 25 Formazin nephelometric units (FNU) or 25 nephelometric turbidity units (NTU) or equivalent units, above the inlet water turbidity. However, during periods of high inlet turbidity, the precision of the measurement device and the time lapse between inlet measurement and discharge measurement are such that the use of a difference limit is unreliable. Therefore, all turbidity difference readings should be a rolling average over a 15-minute period to a maximum of 25 FNU. </w:t>
      </w:r>
    </w:p>
    <w:p w14:paraId="72A2F78B"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70FF9265" w14:textId="77777777" w:rsidR="00A92973" w:rsidRPr="00252071" w:rsidRDefault="00A92973" w:rsidP="000A73C2">
      <w:pPr>
        <w:numPr>
          <w:ilvl w:val="4"/>
          <w:numId w:val="14"/>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For the purposes of this criteria, the turbidity in the wash water should be measured downstream of the water treatment equipment but upstream of wash water dilution (or other reactant dosing) prior to discharge. For a 15-minute period in any 12-hour period, the continuous turbidity discharge limit may be exceeded by 20 percent (Resolution MEPC.184(59)).</w:t>
      </w:r>
    </w:p>
    <w:p w14:paraId="17A0131F" w14:textId="77777777" w:rsidR="00A92973" w:rsidRPr="00252071" w:rsidRDefault="00A92973" w:rsidP="000A73C2">
      <w:pPr>
        <w:spacing w:after="0" w:line="240" w:lineRule="auto"/>
        <w:jc w:val="both"/>
        <w:rPr>
          <w:rFonts w:asciiTheme="minorHAnsi" w:hAnsiTheme="minorHAnsi"/>
          <w:b/>
          <w:color w:val="000000" w:themeColor="text1"/>
          <w:sz w:val="22"/>
          <w:lang w:val="en-SG" w:eastAsia="ja-JP"/>
        </w:rPr>
      </w:pPr>
    </w:p>
    <w:p w14:paraId="730A4B6C" w14:textId="77777777" w:rsidR="00A92973" w:rsidRPr="00252071" w:rsidRDefault="00A92973" w:rsidP="000A73C2">
      <w:pPr>
        <w:pStyle w:val="Heading1"/>
        <w:keepLines w:val="0"/>
        <w:numPr>
          <w:ilvl w:val="3"/>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Cs/>
          <w:color w:val="000000" w:themeColor="text1"/>
          <w:sz w:val="22"/>
          <w:u w:val="single"/>
          <w:lang w:val="en-SG" w:eastAsia="ja-JP"/>
        </w:rPr>
      </w:pPr>
      <w:r w:rsidRPr="00252071">
        <w:rPr>
          <w:rFonts w:asciiTheme="minorHAnsi" w:hAnsiTheme="minorHAnsi"/>
          <w:bCs/>
          <w:color w:val="000000" w:themeColor="text1"/>
          <w:sz w:val="22"/>
          <w:u w:val="single"/>
          <w:lang w:val="en-SG" w:eastAsia="ja-JP"/>
        </w:rPr>
        <w:t xml:space="preserve">Other Discharge Limits </w:t>
      </w:r>
    </w:p>
    <w:p w14:paraId="6CFC7328"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2BDAA85D" w14:textId="77777777" w:rsidR="00A92973" w:rsidRPr="00252071" w:rsidRDefault="00A92973" w:rsidP="000A73C2">
      <w:pPr>
        <w:numPr>
          <w:ilvl w:val="4"/>
          <w:numId w:val="15"/>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Nitrates </w:t>
      </w:r>
    </w:p>
    <w:p w14:paraId="7E79C1BC"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200A5437"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The wash water treatment system should prevent the discharge of nitrates beyond that associated with a 12 percent removal of NOx from the exhaust, or beyond 60 mg/L (1 mM) normalized for a wash water discharge rate of 45 t/MWh (similar to the adjustment tabulated above for PAHs), whichever is greater. All systems should be tested for nitrates in the discharge water. </w:t>
      </w:r>
    </w:p>
    <w:p w14:paraId="474D92D4"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0606A87C" w14:textId="77777777" w:rsidR="00A92973" w:rsidRPr="00252071" w:rsidRDefault="00A92973" w:rsidP="000A73C2">
      <w:pPr>
        <w:numPr>
          <w:ilvl w:val="4"/>
          <w:numId w:val="15"/>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Wash water Residue </w:t>
      </w:r>
    </w:p>
    <w:p w14:paraId="487A4BE0"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16BDBE5F"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Residues (sludge) generated by the EGCS should be delivered shoreside to adequate reception facilities. Such residues should not be discharged to the sea nor incinerated onboard.</w:t>
      </w:r>
    </w:p>
    <w:p w14:paraId="083D0EDE"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297011A6"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bCs/>
          <w:color w:val="000000" w:themeColor="text1"/>
          <w:szCs w:val="36"/>
        </w:rPr>
      </w:pPr>
      <w:r w:rsidRPr="00252071">
        <w:rPr>
          <w:rFonts w:asciiTheme="minorHAnsi" w:hAnsiTheme="minorHAnsi"/>
          <w:bCs/>
          <w:color w:val="000000" w:themeColor="text1"/>
          <w:szCs w:val="36"/>
        </w:rPr>
        <w:t xml:space="preserve">US requirements </w:t>
      </w:r>
    </w:p>
    <w:p w14:paraId="4B61CD38"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020AB4DD" w14:textId="77777777" w:rsidR="00A92973" w:rsidRPr="00252071" w:rsidRDefault="00A92973" w:rsidP="000A73C2">
      <w:pPr>
        <w:numPr>
          <w:ilvl w:val="4"/>
          <w:numId w:val="16"/>
        </w:numPr>
        <w:spacing w:after="0" w:line="240" w:lineRule="auto"/>
        <w:jc w:val="both"/>
        <w:rPr>
          <w:rFonts w:asciiTheme="minorHAnsi" w:hAnsiTheme="minorHAnsi"/>
          <w:i/>
          <w:color w:val="000000" w:themeColor="text1"/>
          <w:sz w:val="22"/>
        </w:rPr>
      </w:pPr>
      <w:r w:rsidRPr="00252071">
        <w:rPr>
          <w:rFonts w:asciiTheme="minorHAnsi" w:hAnsiTheme="minorHAnsi"/>
          <w:color w:val="000000" w:themeColor="text1"/>
          <w:sz w:val="22"/>
          <w:lang w:val="en-SG" w:eastAsia="ja-JP"/>
        </w:rPr>
        <w:t>The</w:t>
      </w:r>
      <w:r w:rsidRPr="00252071">
        <w:rPr>
          <w:rFonts w:asciiTheme="minorHAnsi" w:hAnsiTheme="minorHAnsi"/>
          <w:color w:val="000000" w:themeColor="text1"/>
          <w:sz w:val="22"/>
        </w:rPr>
        <w:t xml:space="preserve"> USCG issued an update to their policy letter, CVC Policy Letter 12-04 Guidelines for compliance and enforcement of the emission control areas established within the United States. </w:t>
      </w:r>
      <w:r w:rsidRPr="00252071">
        <w:rPr>
          <w:rFonts w:asciiTheme="minorHAnsi" w:hAnsiTheme="minorHAnsi"/>
          <w:i/>
          <w:color w:val="000000" w:themeColor="text1"/>
          <w:sz w:val="22"/>
        </w:rPr>
        <w:t xml:space="preserve">(Refer Regulatory Information under external attachments in MDCS) </w:t>
      </w:r>
    </w:p>
    <w:p w14:paraId="6FC93BC1" w14:textId="77777777" w:rsidR="00A92973" w:rsidRPr="00252071" w:rsidRDefault="00A92973" w:rsidP="000A73C2">
      <w:pPr>
        <w:spacing w:after="0" w:line="240" w:lineRule="auto"/>
        <w:jc w:val="both"/>
        <w:rPr>
          <w:rFonts w:asciiTheme="minorHAnsi" w:hAnsiTheme="minorHAnsi"/>
          <w:color w:val="000000" w:themeColor="text1"/>
          <w:sz w:val="22"/>
        </w:rPr>
      </w:pPr>
    </w:p>
    <w:p w14:paraId="1606412C" w14:textId="77777777" w:rsidR="00A92973" w:rsidRPr="00252071" w:rsidRDefault="00A92973" w:rsidP="000A73C2">
      <w:pPr>
        <w:numPr>
          <w:ilvl w:val="4"/>
          <w:numId w:val="1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lang w:val="en-SG" w:eastAsia="ja-JP"/>
        </w:rPr>
        <w:t>Provided</w:t>
      </w:r>
      <w:r w:rsidRPr="00252071">
        <w:rPr>
          <w:rFonts w:asciiTheme="minorHAnsi" w:hAnsiTheme="minorHAnsi"/>
          <w:color w:val="000000" w:themeColor="text1"/>
          <w:sz w:val="22"/>
        </w:rPr>
        <w:t xml:space="preserve"> the EGCS systems are tested, surveyed, and verified in accordance with MEPC 184(59) or MEPC 259(68) and are appropriately granted equivalencies by a flag administration, exhaust gas scrubbers may be used to meet the ECA requirements in the US. </w:t>
      </w:r>
    </w:p>
    <w:p w14:paraId="08FEE850"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362308CC" w14:textId="77777777" w:rsidR="00A92973" w:rsidRPr="00252071" w:rsidRDefault="00A92973" w:rsidP="000A73C2">
      <w:pPr>
        <w:numPr>
          <w:ilvl w:val="4"/>
          <w:numId w:val="1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lang w:val="en-SG" w:eastAsia="ja-JP"/>
        </w:rPr>
        <w:t>Foreign</w:t>
      </w:r>
      <w:r w:rsidRPr="00252071">
        <w:rPr>
          <w:rFonts w:asciiTheme="minorHAnsi" w:hAnsiTheme="minorHAnsi"/>
          <w:color w:val="000000" w:themeColor="text1"/>
          <w:sz w:val="22"/>
        </w:rPr>
        <w:t xml:space="preserve"> flagged vessels using an exhaust gas scrubber to meet the North American and U.S. Caribbean Emission Control Area (ECA) requirements do not need to make a separate notification to USCG prior to arrival in US waters. </w:t>
      </w:r>
    </w:p>
    <w:p w14:paraId="79155BBD"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436D5580" w14:textId="77777777" w:rsidR="00A92973" w:rsidRPr="00252071" w:rsidRDefault="00A92973" w:rsidP="000A73C2">
      <w:pPr>
        <w:numPr>
          <w:ilvl w:val="4"/>
          <w:numId w:val="1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Vessels using an open-loop or hybrid system that will generate an exhaust gas scrubber wash water discharge within 3nm of the US, are subject to additional monitoring and effluent limitations under the 2013 VGP. </w:t>
      </w:r>
    </w:p>
    <w:p w14:paraId="5475E272" w14:textId="77777777" w:rsidR="00A92973" w:rsidRPr="00252071" w:rsidRDefault="00A92973" w:rsidP="000A73C2">
      <w:pPr>
        <w:spacing w:after="0" w:line="240" w:lineRule="auto"/>
        <w:ind w:left="720"/>
        <w:jc w:val="both"/>
        <w:rPr>
          <w:rFonts w:asciiTheme="minorHAnsi" w:hAnsiTheme="minorHAnsi"/>
          <w:color w:val="000000" w:themeColor="text1"/>
          <w:sz w:val="22"/>
        </w:rPr>
      </w:pPr>
    </w:p>
    <w:p w14:paraId="497D0C2D" w14:textId="77777777" w:rsidR="00A92973" w:rsidRPr="00252071" w:rsidRDefault="00A92973" w:rsidP="000A73C2">
      <w:pPr>
        <w:numPr>
          <w:ilvl w:val="5"/>
          <w:numId w:val="17"/>
        </w:numPr>
        <w:spacing w:after="0" w:line="240" w:lineRule="auto"/>
        <w:jc w:val="both"/>
        <w:rPr>
          <w:rFonts w:asciiTheme="minorHAnsi" w:hAnsiTheme="minorHAnsi"/>
          <w:color w:val="000000" w:themeColor="text1"/>
          <w:sz w:val="22"/>
        </w:rPr>
      </w:pPr>
      <w:r w:rsidRPr="00252071">
        <w:rPr>
          <w:rFonts w:asciiTheme="minorHAnsi" w:hAnsiTheme="minorHAnsi" w:cstheme="minorHAnsi"/>
          <w:color w:val="000000" w:themeColor="text1"/>
          <w:sz w:val="22"/>
        </w:rPr>
        <w:t>While</w:t>
      </w:r>
      <w:r w:rsidRPr="00252071">
        <w:rPr>
          <w:rFonts w:asciiTheme="minorHAnsi" w:hAnsiTheme="minorHAnsi"/>
          <w:color w:val="000000" w:themeColor="text1"/>
          <w:sz w:val="22"/>
        </w:rPr>
        <w:t xml:space="preserve"> the requirements are generally like those in MARPOL Annex VI, the pH limit is more stringent under the VGP:</w:t>
      </w:r>
    </w:p>
    <w:p w14:paraId="5D48EF3D" w14:textId="77777777" w:rsidR="00A92973" w:rsidRPr="00252071" w:rsidRDefault="00A92973" w:rsidP="000A73C2">
      <w:pPr>
        <w:spacing w:after="0" w:line="240" w:lineRule="auto"/>
        <w:ind w:left="1008"/>
        <w:jc w:val="both"/>
        <w:rPr>
          <w:rFonts w:asciiTheme="minorHAnsi" w:hAnsiTheme="minorHAnsi"/>
          <w:color w:val="000000" w:themeColor="text1"/>
          <w:sz w:val="22"/>
        </w:rPr>
      </w:pPr>
    </w:p>
    <w:p w14:paraId="520EEFA5" w14:textId="77777777" w:rsidR="00A92973" w:rsidRPr="00252071" w:rsidRDefault="00A92973" w:rsidP="000A73C2">
      <w:pPr>
        <w:pStyle w:val="ListParagraph"/>
        <w:numPr>
          <w:ilvl w:val="0"/>
          <w:numId w:val="8"/>
        </w:numPr>
        <w:jc w:val="both"/>
        <w:rPr>
          <w:rFonts w:asciiTheme="minorHAnsi" w:hAnsiTheme="minorHAnsi"/>
          <w:color w:val="000000" w:themeColor="text1"/>
          <w:sz w:val="22"/>
        </w:rPr>
      </w:pPr>
      <w:r w:rsidRPr="00252071">
        <w:rPr>
          <w:rFonts w:asciiTheme="minorHAnsi" w:hAnsiTheme="minorHAnsi"/>
          <w:color w:val="000000" w:themeColor="text1"/>
          <w:sz w:val="22"/>
        </w:rPr>
        <w:t xml:space="preserve"> pH - The pH of the wash water discharged from the scrubbing process is to be no less than 6.0 measured at the ship’s overboard discharge and no other methodology of pH determination would be acceptable. (limit at “end of pipe” to demonstrate compliance but allow for slightly lower 6pH vs 6.5) </w:t>
      </w:r>
    </w:p>
    <w:p w14:paraId="220C69C8" w14:textId="77777777" w:rsidR="00A92973" w:rsidRPr="00252071" w:rsidRDefault="00A92973" w:rsidP="000A73C2">
      <w:pPr>
        <w:pStyle w:val="ListParagraph"/>
        <w:numPr>
          <w:ilvl w:val="0"/>
          <w:numId w:val="8"/>
        </w:numPr>
        <w:jc w:val="both"/>
        <w:rPr>
          <w:rFonts w:asciiTheme="minorHAnsi" w:hAnsiTheme="minorHAnsi"/>
          <w:color w:val="000000" w:themeColor="text1"/>
          <w:sz w:val="22"/>
        </w:rPr>
      </w:pPr>
      <w:r w:rsidRPr="00252071">
        <w:rPr>
          <w:rFonts w:asciiTheme="minorHAnsi" w:hAnsiTheme="minorHAnsi"/>
          <w:color w:val="000000" w:themeColor="text1"/>
          <w:sz w:val="22"/>
        </w:rPr>
        <w:t xml:space="preserve">Monitoring: generally similar although includes selenium (and requires monitoring for the entire duration of the permit) </w:t>
      </w:r>
    </w:p>
    <w:p w14:paraId="5142D328" w14:textId="77777777" w:rsidR="00A92973" w:rsidRPr="00252071" w:rsidRDefault="00A92973" w:rsidP="000A73C2">
      <w:pPr>
        <w:pStyle w:val="ListParagraph"/>
        <w:numPr>
          <w:ilvl w:val="0"/>
          <w:numId w:val="8"/>
        </w:numPr>
        <w:jc w:val="both"/>
        <w:rPr>
          <w:rFonts w:asciiTheme="minorHAnsi" w:hAnsiTheme="minorHAnsi"/>
          <w:color w:val="000000" w:themeColor="text1"/>
          <w:sz w:val="22"/>
        </w:rPr>
      </w:pPr>
      <w:r w:rsidRPr="00252071">
        <w:rPr>
          <w:rFonts w:asciiTheme="minorHAnsi" w:hAnsiTheme="minorHAnsi"/>
          <w:color w:val="000000" w:themeColor="text1"/>
          <w:sz w:val="22"/>
        </w:rPr>
        <w:t xml:space="preserve">Reporting: Requires reporting of monitoring data to EPA. </w:t>
      </w:r>
    </w:p>
    <w:p w14:paraId="0BAB7389" w14:textId="77777777" w:rsidR="00A92973" w:rsidRPr="00252071" w:rsidRDefault="00A92973" w:rsidP="000A73C2">
      <w:pPr>
        <w:spacing w:after="0" w:line="240" w:lineRule="auto"/>
        <w:ind w:left="1008"/>
        <w:jc w:val="both"/>
        <w:rPr>
          <w:rFonts w:asciiTheme="minorHAnsi" w:hAnsiTheme="minorHAnsi"/>
          <w:color w:val="000000" w:themeColor="text1"/>
          <w:sz w:val="22"/>
        </w:rPr>
      </w:pPr>
    </w:p>
    <w:p w14:paraId="4B7C059E" w14:textId="77777777" w:rsidR="00A92973" w:rsidRPr="00252071" w:rsidRDefault="00A92973" w:rsidP="000A73C2">
      <w:pPr>
        <w:numPr>
          <w:ilvl w:val="5"/>
          <w:numId w:val="17"/>
        </w:numPr>
        <w:spacing w:after="0" w:line="240" w:lineRule="auto"/>
        <w:jc w:val="both"/>
        <w:rPr>
          <w:rFonts w:asciiTheme="minorHAnsi" w:hAnsiTheme="minorHAnsi"/>
          <w:color w:val="000000" w:themeColor="text1"/>
          <w:sz w:val="22"/>
        </w:rPr>
      </w:pPr>
      <w:r w:rsidRPr="00252071">
        <w:rPr>
          <w:rFonts w:asciiTheme="minorHAnsi" w:hAnsiTheme="minorHAnsi" w:cstheme="minorHAnsi"/>
          <w:color w:val="000000" w:themeColor="text1"/>
          <w:sz w:val="22"/>
        </w:rPr>
        <w:t>Analytical</w:t>
      </w:r>
      <w:r w:rsidRPr="00252071">
        <w:rPr>
          <w:rFonts w:asciiTheme="minorHAnsi" w:hAnsiTheme="minorHAnsi"/>
          <w:color w:val="000000" w:themeColor="text1"/>
          <w:sz w:val="22"/>
        </w:rPr>
        <w:t xml:space="preserve"> Exhaust Gas Scrubber (EGS) wastewater sample monitoring must be carried out and reported to EPA as part of the vessel’s Annual Report. </w:t>
      </w:r>
    </w:p>
    <w:p w14:paraId="6FF056BC" w14:textId="77777777" w:rsidR="00A92973" w:rsidRPr="00252071" w:rsidRDefault="00A92973" w:rsidP="000A73C2">
      <w:pPr>
        <w:spacing w:after="0" w:line="240" w:lineRule="auto"/>
        <w:ind w:left="1008"/>
        <w:jc w:val="both"/>
        <w:rPr>
          <w:rFonts w:asciiTheme="minorHAnsi" w:hAnsiTheme="minorHAnsi"/>
          <w:color w:val="000000" w:themeColor="text1"/>
          <w:sz w:val="22"/>
        </w:rPr>
      </w:pPr>
    </w:p>
    <w:p w14:paraId="723C706A" w14:textId="77777777" w:rsidR="00A92973" w:rsidRPr="00252071" w:rsidRDefault="00A92973" w:rsidP="000A73C2">
      <w:pPr>
        <w:spacing w:after="0" w:line="240" w:lineRule="auto"/>
        <w:ind w:left="1224"/>
        <w:jc w:val="both"/>
        <w:rPr>
          <w:rFonts w:asciiTheme="minorHAnsi" w:hAnsiTheme="minorHAnsi"/>
          <w:color w:val="000000" w:themeColor="text1"/>
          <w:sz w:val="22"/>
          <w:u w:val="single"/>
        </w:rPr>
      </w:pPr>
      <w:r w:rsidRPr="00252071">
        <w:rPr>
          <w:rFonts w:asciiTheme="minorHAnsi" w:hAnsiTheme="minorHAnsi"/>
          <w:color w:val="000000" w:themeColor="text1"/>
          <w:sz w:val="22"/>
        </w:rPr>
        <w:t xml:space="preserve">All </w:t>
      </w:r>
      <w:r w:rsidRPr="00252071">
        <w:rPr>
          <w:rFonts w:asciiTheme="minorHAnsi" w:hAnsiTheme="minorHAnsi" w:cstheme="minorHAnsi"/>
          <w:color w:val="000000" w:themeColor="text1"/>
          <w:sz w:val="22"/>
        </w:rPr>
        <w:t>vessels</w:t>
      </w:r>
      <w:r w:rsidRPr="00252071">
        <w:rPr>
          <w:rFonts w:asciiTheme="minorHAnsi" w:hAnsiTheme="minorHAnsi"/>
          <w:color w:val="000000" w:themeColor="text1"/>
          <w:sz w:val="22"/>
        </w:rPr>
        <w:t xml:space="preserve"> with an NOI and using an EGCS are required to sample and </w:t>
      </w:r>
      <w:r w:rsidR="004060B6" w:rsidRPr="00252071">
        <w:rPr>
          <w:rFonts w:asciiTheme="minorHAnsi" w:hAnsiTheme="minorHAnsi"/>
          <w:color w:val="000000" w:themeColor="text1"/>
          <w:sz w:val="22"/>
        </w:rPr>
        <w:t>analyze</w:t>
      </w:r>
      <w:r w:rsidRPr="00252071">
        <w:rPr>
          <w:rFonts w:asciiTheme="minorHAnsi" w:hAnsiTheme="minorHAnsi"/>
          <w:color w:val="000000" w:themeColor="text1"/>
          <w:sz w:val="22"/>
        </w:rPr>
        <w:t xml:space="preserve"> wastewater samples twice per year. The two sampling events must be at least 14 days apart. Parameters for analysis are described in VGP Section 2.2.26.2.3. If analysis results are within specified parameters during the first year, only one sampling and analysis is required during each subsequent year. </w:t>
      </w:r>
      <w:r w:rsidRPr="00252071">
        <w:rPr>
          <w:rFonts w:asciiTheme="minorHAnsi" w:hAnsiTheme="minorHAnsi"/>
          <w:color w:val="000000" w:themeColor="text1"/>
          <w:sz w:val="22"/>
          <w:u w:val="single"/>
        </w:rPr>
        <w:t xml:space="preserve">If the wash water can be contained and is not discharged within VGP waters, these requirements do not apply. </w:t>
      </w:r>
    </w:p>
    <w:p w14:paraId="13B1981C" w14:textId="77777777" w:rsidR="00A92973" w:rsidRPr="00252071" w:rsidRDefault="00A92973" w:rsidP="000A73C2">
      <w:pPr>
        <w:spacing w:after="0" w:line="240" w:lineRule="auto"/>
        <w:ind w:left="1008"/>
        <w:jc w:val="both"/>
        <w:rPr>
          <w:rFonts w:asciiTheme="minorHAnsi" w:hAnsiTheme="minorHAnsi"/>
          <w:color w:val="000000" w:themeColor="text1"/>
          <w:sz w:val="22"/>
        </w:rPr>
      </w:pPr>
    </w:p>
    <w:p w14:paraId="1F25188E" w14:textId="77777777" w:rsidR="00A92973" w:rsidRPr="00252071" w:rsidRDefault="00A92973" w:rsidP="000A73C2">
      <w:pPr>
        <w:numPr>
          <w:ilvl w:val="4"/>
          <w:numId w:val="16"/>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For more detailed and specific requirements, including reporting procedures, reference may be made to the specific sections of the VGP 08-00, such as 2.2.26 Exhaust Gas Scrubber Wash Water Discharge and other associated sections.</w:t>
      </w:r>
    </w:p>
    <w:p w14:paraId="6D2BC3C5" w14:textId="77777777" w:rsidR="00A92973" w:rsidRPr="00252071" w:rsidRDefault="00A92973" w:rsidP="000A73C2">
      <w:pPr>
        <w:spacing w:after="0" w:line="240" w:lineRule="auto"/>
        <w:ind w:left="1008"/>
        <w:jc w:val="both"/>
        <w:rPr>
          <w:rFonts w:asciiTheme="minorHAnsi" w:hAnsiTheme="minorHAnsi"/>
          <w:color w:val="000000" w:themeColor="text1"/>
          <w:sz w:val="22"/>
        </w:rPr>
      </w:pPr>
    </w:p>
    <w:p w14:paraId="430241A5" w14:textId="77777777" w:rsidR="00A92973" w:rsidRPr="00252071" w:rsidRDefault="00A92973" w:rsidP="000A73C2">
      <w:pPr>
        <w:numPr>
          <w:ilvl w:val="4"/>
          <w:numId w:val="16"/>
        </w:numPr>
        <w:spacing w:after="0" w:line="240" w:lineRule="auto"/>
        <w:jc w:val="both"/>
        <w:rPr>
          <w:rFonts w:asciiTheme="minorHAnsi" w:hAnsiTheme="minorHAnsi"/>
          <w:b/>
          <w:color w:val="000000" w:themeColor="text1"/>
          <w:sz w:val="22"/>
        </w:rPr>
      </w:pPr>
      <w:r w:rsidRPr="00252071">
        <w:rPr>
          <w:rFonts w:asciiTheme="minorHAnsi" w:hAnsiTheme="minorHAnsi"/>
          <w:b/>
          <w:bCs/>
          <w:color w:val="000000" w:themeColor="text1"/>
          <w:sz w:val="22"/>
        </w:rPr>
        <w:t>The</w:t>
      </w:r>
      <w:r w:rsidRPr="00252071">
        <w:rPr>
          <w:rFonts w:asciiTheme="minorHAnsi" w:hAnsiTheme="minorHAnsi"/>
          <w:b/>
          <w:color w:val="000000" w:themeColor="text1"/>
          <w:sz w:val="22"/>
        </w:rPr>
        <w:t xml:space="preserve"> discharge of any scrubber wash water is prohibited in Connecticut State waters</w:t>
      </w:r>
      <w:r w:rsidRPr="00252071">
        <w:rPr>
          <w:rFonts w:asciiTheme="minorHAnsi" w:hAnsiTheme="minorHAnsi"/>
          <w:color w:val="000000" w:themeColor="text1"/>
          <w:sz w:val="22"/>
        </w:rPr>
        <w:t xml:space="preserve">. </w:t>
      </w:r>
      <w:r w:rsidRPr="00252071">
        <w:rPr>
          <w:rFonts w:asciiTheme="minorHAnsi" w:hAnsiTheme="minorHAnsi"/>
          <w:b/>
          <w:color w:val="000000" w:themeColor="text1"/>
          <w:sz w:val="22"/>
        </w:rPr>
        <w:t>Vessels calling ports in Connecticut, may not operate an open-loop scrubber while in State waters.</w:t>
      </w:r>
    </w:p>
    <w:p w14:paraId="489D3221" w14:textId="77777777" w:rsidR="00A92973" w:rsidRPr="00252071" w:rsidRDefault="00A92973" w:rsidP="000A73C2">
      <w:pPr>
        <w:spacing w:after="0" w:line="240" w:lineRule="auto"/>
        <w:ind w:left="1008"/>
        <w:jc w:val="both"/>
        <w:rPr>
          <w:rFonts w:asciiTheme="minorHAnsi" w:hAnsiTheme="minorHAnsi"/>
          <w:color w:val="000000" w:themeColor="text1"/>
          <w:sz w:val="22"/>
        </w:rPr>
      </w:pPr>
    </w:p>
    <w:p w14:paraId="5198F800" w14:textId="77777777" w:rsidR="00A92973" w:rsidRPr="00252071" w:rsidRDefault="00A92973" w:rsidP="000A73C2">
      <w:pPr>
        <w:numPr>
          <w:ilvl w:val="4"/>
          <w:numId w:val="16"/>
        </w:numPr>
        <w:spacing w:after="0" w:line="240" w:lineRule="auto"/>
        <w:jc w:val="both"/>
        <w:rPr>
          <w:rFonts w:asciiTheme="minorHAnsi" w:hAnsiTheme="minorHAnsi"/>
          <w:color w:val="000000" w:themeColor="text1"/>
          <w:sz w:val="22"/>
        </w:rPr>
      </w:pPr>
      <w:r w:rsidRPr="00252071">
        <w:rPr>
          <w:rFonts w:asciiTheme="minorHAnsi" w:hAnsiTheme="minorHAnsi"/>
          <w:b/>
          <w:color w:val="000000" w:themeColor="text1"/>
          <w:sz w:val="22"/>
        </w:rPr>
        <w:t>Use of exhaust gas scrubber systems are not authorized to meet the California fuel oil requirements unless a special research exemption is granted by the State.</w:t>
      </w:r>
      <w:r w:rsidRPr="00252071">
        <w:rPr>
          <w:rFonts w:asciiTheme="minorHAnsi" w:hAnsiTheme="minorHAnsi"/>
          <w:color w:val="000000" w:themeColor="text1"/>
          <w:sz w:val="22"/>
        </w:rPr>
        <w:t xml:space="preserve"> If an exemption is not obtained from the State, vessels using an exhaust gas scrubber will need to switch to compliant fuel prior to entry within California Regulated Waters (24nm from the baseline)</w:t>
      </w:r>
    </w:p>
    <w:p w14:paraId="746EF3EF" w14:textId="77777777" w:rsidR="00A92973" w:rsidRDefault="00A92973" w:rsidP="000A73C2">
      <w:pPr>
        <w:spacing w:after="0" w:line="240" w:lineRule="auto"/>
        <w:jc w:val="both"/>
        <w:rPr>
          <w:rFonts w:asciiTheme="minorHAnsi" w:hAnsiTheme="minorHAnsi"/>
          <w:b/>
          <w:bCs/>
          <w:color w:val="000000" w:themeColor="text1"/>
          <w:sz w:val="22"/>
        </w:rPr>
      </w:pPr>
    </w:p>
    <w:p w14:paraId="5F911328" w14:textId="77777777" w:rsidR="004209D1" w:rsidRPr="00252071" w:rsidRDefault="004209D1" w:rsidP="000A73C2">
      <w:pPr>
        <w:spacing w:after="0" w:line="240" w:lineRule="auto"/>
        <w:jc w:val="both"/>
        <w:rPr>
          <w:rFonts w:asciiTheme="minorHAnsi" w:hAnsiTheme="minorHAnsi"/>
          <w:b/>
          <w:bCs/>
          <w:color w:val="000000" w:themeColor="text1"/>
          <w:sz w:val="22"/>
        </w:rPr>
      </w:pPr>
    </w:p>
    <w:p w14:paraId="5B98BEC5" w14:textId="77777777" w:rsidR="00A92973" w:rsidRPr="00252071" w:rsidRDefault="00A92973" w:rsidP="000A73C2">
      <w:pPr>
        <w:pStyle w:val="Heading1"/>
        <w:keepLines w:val="0"/>
        <w:numPr>
          <w:ilvl w:val="1"/>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color w:val="000000" w:themeColor="text1"/>
          <w:sz w:val="28"/>
          <w:szCs w:val="40"/>
          <w:u w:val="single"/>
        </w:rPr>
      </w:pPr>
      <w:r w:rsidRPr="00252071">
        <w:rPr>
          <w:rFonts w:asciiTheme="minorHAnsi" w:hAnsiTheme="minorHAnsi"/>
          <w:color w:val="000000" w:themeColor="text1"/>
          <w:sz w:val="28"/>
          <w:szCs w:val="40"/>
          <w:u w:val="single"/>
        </w:rPr>
        <w:t xml:space="preserve">EGCS SYSTEM MALFUNCTION AND CONTINGENCY MEASURES </w:t>
      </w:r>
    </w:p>
    <w:p w14:paraId="0DDB7239" w14:textId="77777777" w:rsidR="00A92973" w:rsidRPr="00252071" w:rsidRDefault="00A92973" w:rsidP="000A73C2">
      <w:pPr>
        <w:spacing w:after="0" w:line="240" w:lineRule="auto"/>
        <w:jc w:val="both"/>
        <w:rPr>
          <w:rFonts w:asciiTheme="minorHAnsi" w:hAnsiTheme="minorHAnsi"/>
          <w:color w:val="000000" w:themeColor="text1"/>
          <w:sz w:val="22"/>
        </w:rPr>
      </w:pPr>
    </w:p>
    <w:p w14:paraId="36B9A257" w14:textId="77777777" w:rsidR="00A92973" w:rsidRPr="00252071" w:rsidRDefault="00A92973" w:rsidP="000A73C2">
      <w:pPr>
        <w:numPr>
          <w:ilvl w:val="0"/>
          <w:numId w:val="18"/>
        </w:numPr>
        <w:spacing w:after="0" w:line="240" w:lineRule="auto"/>
        <w:jc w:val="both"/>
        <w:rPr>
          <w:rFonts w:asciiTheme="minorHAnsi" w:hAnsiTheme="minorHAnsi"/>
          <w:i/>
          <w:color w:val="000000" w:themeColor="text1"/>
          <w:sz w:val="22"/>
        </w:rPr>
      </w:pPr>
      <w:r w:rsidRPr="00252071">
        <w:rPr>
          <w:rFonts w:asciiTheme="minorHAnsi" w:hAnsiTheme="minorHAnsi"/>
          <w:color w:val="000000" w:themeColor="text1"/>
          <w:sz w:val="22"/>
        </w:rPr>
        <w:t>Guidance on the steps and actions to be taken by ships are provided from MEPC.1/Circ.883 –“</w:t>
      </w:r>
      <w:r w:rsidRPr="00252071">
        <w:rPr>
          <w:rFonts w:asciiTheme="minorHAnsi" w:hAnsiTheme="minorHAnsi"/>
          <w:i/>
          <w:color w:val="000000" w:themeColor="text1"/>
          <w:sz w:val="22"/>
        </w:rPr>
        <w:t xml:space="preserve">Guidance on Indication of Ongoing Compliance in the Case of the Failure of a Single Monitoring Instrument, and Recommended Actions to take if the EGCS fails to meet the Provisions of the 2015 EGCS Guidelines (MEPC.259(68)” </w:t>
      </w:r>
    </w:p>
    <w:p w14:paraId="0A95AED6" w14:textId="77777777" w:rsidR="00A92973" w:rsidRPr="00252071" w:rsidRDefault="00A92973" w:rsidP="000A73C2">
      <w:pPr>
        <w:spacing w:after="0" w:line="240" w:lineRule="auto"/>
        <w:ind w:left="936"/>
        <w:jc w:val="both"/>
        <w:rPr>
          <w:rFonts w:asciiTheme="minorHAnsi" w:hAnsiTheme="minorHAnsi"/>
          <w:i/>
          <w:color w:val="000000" w:themeColor="text1"/>
          <w:sz w:val="22"/>
        </w:rPr>
      </w:pPr>
    </w:p>
    <w:p w14:paraId="2B61094E" w14:textId="77777777" w:rsidR="00A92973" w:rsidRPr="00252071" w:rsidRDefault="00A92973" w:rsidP="000A73C2">
      <w:pPr>
        <w:spacing w:after="0" w:line="240" w:lineRule="auto"/>
        <w:ind w:left="936"/>
        <w:jc w:val="both"/>
        <w:rPr>
          <w:rFonts w:asciiTheme="minorHAnsi" w:hAnsiTheme="minorHAnsi"/>
          <w:i/>
          <w:color w:val="000000" w:themeColor="text1"/>
          <w:sz w:val="22"/>
        </w:rPr>
      </w:pPr>
      <w:r w:rsidRPr="00252071">
        <w:rPr>
          <w:rFonts w:asciiTheme="minorHAnsi" w:hAnsiTheme="minorHAnsi"/>
          <w:i/>
          <w:color w:val="000000" w:themeColor="text1"/>
          <w:sz w:val="22"/>
        </w:rPr>
        <w:t>(</w:t>
      </w:r>
      <w:r w:rsidRPr="00252071">
        <w:rPr>
          <w:rFonts w:asciiTheme="minorHAnsi" w:hAnsiTheme="minorHAnsi"/>
          <w:color w:val="000000" w:themeColor="text1"/>
          <w:sz w:val="22"/>
        </w:rPr>
        <w:t>Refer</w:t>
      </w:r>
      <w:r w:rsidRPr="00252071">
        <w:rPr>
          <w:rFonts w:asciiTheme="minorHAnsi" w:hAnsiTheme="minorHAnsi"/>
          <w:i/>
          <w:color w:val="000000" w:themeColor="text1"/>
          <w:sz w:val="22"/>
        </w:rPr>
        <w:t xml:space="preserve"> Regulatory Information under external attachments in MDCS) </w:t>
      </w:r>
    </w:p>
    <w:p w14:paraId="44AECCB4" w14:textId="77777777" w:rsidR="00A92973" w:rsidRPr="00252071" w:rsidRDefault="00A92973" w:rsidP="000A73C2">
      <w:pPr>
        <w:spacing w:after="0" w:line="240" w:lineRule="auto"/>
        <w:jc w:val="both"/>
        <w:rPr>
          <w:rFonts w:asciiTheme="minorHAnsi" w:hAnsiTheme="minorHAnsi"/>
          <w:color w:val="000000" w:themeColor="text1"/>
          <w:sz w:val="22"/>
        </w:rPr>
      </w:pPr>
    </w:p>
    <w:p w14:paraId="00EFE74B" w14:textId="77777777" w:rsidR="00A92973" w:rsidRPr="00252071" w:rsidRDefault="00A92973" w:rsidP="000A73C2">
      <w:pPr>
        <w:numPr>
          <w:ilvl w:val="0"/>
          <w:numId w:val="18"/>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A comprehensive technical revision of the 2015 Guidelines is expected in 2020. In the meantime, </w:t>
      </w:r>
      <w:r w:rsidR="004060B6" w:rsidRPr="00252071">
        <w:rPr>
          <w:rFonts w:asciiTheme="minorHAnsi" w:hAnsiTheme="minorHAnsi"/>
          <w:color w:val="000000" w:themeColor="text1"/>
          <w:sz w:val="22"/>
        </w:rPr>
        <w:t>recognizing</w:t>
      </w:r>
      <w:r w:rsidRPr="00252071">
        <w:rPr>
          <w:rFonts w:asciiTheme="minorHAnsi" w:hAnsiTheme="minorHAnsi"/>
          <w:color w:val="000000" w:themeColor="text1"/>
          <w:sz w:val="22"/>
        </w:rPr>
        <w:t xml:space="preserve"> an urgent need to address contingency measures in case of EGCS malfunction, MEPC 74 (May 2019) approved MEPC.1/Circ.884 </w:t>
      </w:r>
      <w:r w:rsidRPr="00252071">
        <w:rPr>
          <w:rFonts w:asciiTheme="minorHAnsi" w:hAnsiTheme="minorHAnsi"/>
          <w:i/>
          <w:color w:val="000000" w:themeColor="text1"/>
          <w:sz w:val="22"/>
        </w:rPr>
        <w:t>(Refer Regulatory Information under external attachments in MDCS)</w:t>
      </w:r>
      <w:r w:rsidRPr="00252071">
        <w:rPr>
          <w:rFonts w:asciiTheme="minorHAnsi" w:hAnsiTheme="minorHAnsi"/>
          <w:color w:val="000000" w:themeColor="text1"/>
          <w:sz w:val="22"/>
        </w:rPr>
        <w:t xml:space="preserve">, which provides guidance to ships that operate an EGCS on how to handle unexpected issues during its operation, such as: </w:t>
      </w:r>
    </w:p>
    <w:p w14:paraId="0E88C9D1"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30B318CA" w14:textId="77777777" w:rsidR="00A92973" w:rsidRPr="00252071" w:rsidRDefault="00A92973" w:rsidP="000A73C2">
      <w:pPr>
        <w:numPr>
          <w:ilvl w:val="0"/>
          <w:numId w:val="19"/>
        </w:numPr>
        <w:tabs>
          <w:tab w:val="clear" w:pos="1008"/>
        </w:tabs>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System malfunction that leads to emission exceedance, </w:t>
      </w:r>
    </w:p>
    <w:p w14:paraId="61CAD5C2" w14:textId="77777777" w:rsidR="00A92973" w:rsidRPr="00252071" w:rsidRDefault="00A92973" w:rsidP="000A73C2">
      <w:pPr>
        <w:numPr>
          <w:ilvl w:val="0"/>
          <w:numId w:val="19"/>
        </w:numPr>
        <w:tabs>
          <w:tab w:val="clear" w:pos="1008"/>
        </w:tabs>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Short-terms </w:t>
      </w:r>
      <w:r w:rsidRPr="00252071">
        <w:rPr>
          <w:rFonts w:asciiTheme="minorHAnsi" w:eastAsia="MS Mincho" w:hAnsiTheme="minorHAnsi" w:cs="Times New Roman"/>
          <w:noProof/>
          <w:color w:val="000000" w:themeColor="text1"/>
          <w:sz w:val="22"/>
          <w:lang w:val="en-GB"/>
        </w:rPr>
        <w:t>exceedances</w:t>
      </w:r>
      <w:r w:rsidRPr="00252071">
        <w:rPr>
          <w:rFonts w:asciiTheme="minorHAnsi" w:hAnsiTheme="minorHAnsi"/>
          <w:color w:val="000000" w:themeColor="text1"/>
          <w:sz w:val="22"/>
        </w:rPr>
        <w:t xml:space="preserve"> of the applicable emissions ratio, and </w:t>
      </w:r>
    </w:p>
    <w:p w14:paraId="3D7769E7" w14:textId="77777777" w:rsidR="00A92973" w:rsidRPr="00252071" w:rsidRDefault="00A92973" w:rsidP="000A73C2">
      <w:pPr>
        <w:numPr>
          <w:ilvl w:val="0"/>
          <w:numId w:val="19"/>
        </w:numPr>
        <w:tabs>
          <w:tab w:val="clear" w:pos="1008"/>
        </w:tabs>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Interim </w:t>
      </w:r>
      <w:r w:rsidRPr="00252071">
        <w:rPr>
          <w:rFonts w:asciiTheme="minorHAnsi" w:eastAsia="MS Mincho" w:hAnsiTheme="minorHAnsi" w:cs="Times New Roman"/>
          <w:noProof/>
          <w:color w:val="000000" w:themeColor="text1"/>
          <w:sz w:val="22"/>
          <w:lang w:val="en-GB"/>
        </w:rPr>
        <w:t>indication</w:t>
      </w:r>
      <w:r w:rsidRPr="00252071">
        <w:rPr>
          <w:rFonts w:asciiTheme="minorHAnsi" w:hAnsiTheme="minorHAnsi"/>
          <w:color w:val="000000" w:themeColor="text1"/>
          <w:sz w:val="22"/>
        </w:rPr>
        <w:t xml:space="preserve"> of on-going compliance in the case of sensor failure </w:t>
      </w:r>
    </w:p>
    <w:p w14:paraId="29268CCD"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46F44BB2" w14:textId="77777777" w:rsidR="00A92973" w:rsidRPr="00252071" w:rsidRDefault="00A92973" w:rsidP="000A73C2">
      <w:pPr>
        <w:numPr>
          <w:ilvl w:val="0"/>
          <w:numId w:val="18"/>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Any EGCS malfunction </w:t>
      </w:r>
      <w:r w:rsidRPr="00252071">
        <w:rPr>
          <w:rFonts w:asciiTheme="minorHAnsi" w:hAnsiTheme="minorHAnsi"/>
          <w:i/>
          <w:iCs/>
          <w:color w:val="000000" w:themeColor="text1"/>
          <w:sz w:val="22"/>
        </w:rPr>
        <w:t>that lasts more than one hour</w:t>
      </w:r>
      <w:r w:rsidRPr="00252071">
        <w:rPr>
          <w:rFonts w:asciiTheme="minorHAnsi" w:hAnsiTheme="minorHAnsi"/>
          <w:color w:val="000000" w:themeColor="text1"/>
          <w:sz w:val="22"/>
        </w:rPr>
        <w:t>, or repetitive malfunctions should be reported to the Flag and Port State’s Administration along with an explanation of the steps the being taken to address the failure. At their discretion, the Flag and Port State's Administration could take such information and other relevant circumstances into account to determine the appropriate action to take in the case of an EGCS malfunction, including not taking action.</w:t>
      </w:r>
    </w:p>
    <w:p w14:paraId="2508C07C"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5BCD2033"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imes New Roman"/>
          <w:b w:val="0"/>
          <w:color w:val="000000" w:themeColor="text1"/>
          <w:szCs w:val="24"/>
        </w:rPr>
      </w:pPr>
      <w:r w:rsidRPr="00252071">
        <w:rPr>
          <w:rFonts w:asciiTheme="minorHAnsi" w:hAnsiTheme="minorHAnsi" w:cs="Times New Roman"/>
          <w:color w:val="000000" w:themeColor="text1"/>
          <w:szCs w:val="24"/>
        </w:rPr>
        <w:t>EGCS Malfunction</w:t>
      </w:r>
    </w:p>
    <w:p w14:paraId="6759257C" w14:textId="77777777" w:rsidR="00A92973" w:rsidRPr="00252071" w:rsidRDefault="00A92973" w:rsidP="000A73C2">
      <w:pPr>
        <w:pStyle w:val="Default"/>
        <w:ind w:left="-270" w:right="-692"/>
        <w:jc w:val="both"/>
        <w:rPr>
          <w:rFonts w:asciiTheme="minorHAnsi" w:hAnsiTheme="minorHAnsi" w:cs="Times New Roman"/>
          <w:b/>
          <w:color w:val="000000" w:themeColor="text1"/>
          <w:sz w:val="22"/>
          <w:szCs w:val="22"/>
        </w:rPr>
      </w:pPr>
    </w:p>
    <w:p w14:paraId="61FFE188" w14:textId="77777777" w:rsidR="00A92973" w:rsidRPr="00252071" w:rsidRDefault="00A92973" w:rsidP="000A73C2">
      <w:pPr>
        <w:numPr>
          <w:ilvl w:val="4"/>
          <w:numId w:val="32"/>
        </w:numPr>
        <w:spacing w:after="0" w:line="240" w:lineRule="auto"/>
        <w:jc w:val="both"/>
        <w:rPr>
          <w:rFonts w:asciiTheme="minorHAnsi" w:hAnsiTheme="minorHAnsi" w:cs="Times New Roman"/>
          <w:color w:val="000000" w:themeColor="text1"/>
          <w:sz w:val="22"/>
          <w:lang w:val="en-GB"/>
        </w:rPr>
      </w:pPr>
      <w:r w:rsidRPr="00252071">
        <w:rPr>
          <w:rFonts w:asciiTheme="minorHAnsi" w:hAnsiTheme="minorHAnsi" w:cs="Times New Roman"/>
          <w:color w:val="000000" w:themeColor="text1"/>
          <w:sz w:val="22"/>
          <w:lang w:val="en-GB"/>
        </w:rPr>
        <w:t xml:space="preserve">An Exhaust Gas Cleaning System (EGCS) malfunction is any condition that leads to an emission exceedance, with the exception of the short-term temporary emission exceedance cases described below in Short-term exceedance, or an interim indication of ongoing compliance in the case of sensor failure described in section sensor failure below.  </w:t>
      </w:r>
    </w:p>
    <w:p w14:paraId="307C164B" w14:textId="77777777" w:rsidR="00A92973" w:rsidRPr="00252071" w:rsidRDefault="00A92973" w:rsidP="000A73C2">
      <w:pPr>
        <w:pStyle w:val="Default"/>
        <w:ind w:left="-270" w:right="-692"/>
        <w:jc w:val="both"/>
        <w:rPr>
          <w:rFonts w:asciiTheme="minorHAnsi" w:hAnsiTheme="minorHAnsi" w:cs="Times New Roman"/>
          <w:color w:val="000000" w:themeColor="text1"/>
          <w:sz w:val="22"/>
          <w:szCs w:val="22"/>
          <w:lang w:val="en-GB" w:eastAsia="en-US"/>
        </w:rPr>
      </w:pPr>
    </w:p>
    <w:p w14:paraId="237006B3" w14:textId="77777777" w:rsidR="00A92973" w:rsidRPr="00252071" w:rsidRDefault="00A92973" w:rsidP="000A73C2">
      <w:pPr>
        <w:numPr>
          <w:ilvl w:val="4"/>
          <w:numId w:val="32"/>
        </w:numPr>
        <w:spacing w:after="0" w:line="240" w:lineRule="auto"/>
        <w:jc w:val="both"/>
        <w:rPr>
          <w:rFonts w:asciiTheme="minorHAnsi" w:hAnsiTheme="minorHAnsi" w:cs="Times New Roman"/>
          <w:color w:val="000000" w:themeColor="text1"/>
          <w:sz w:val="22"/>
          <w:lang w:val="en-GB"/>
        </w:rPr>
      </w:pPr>
      <w:r w:rsidRPr="00252071">
        <w:rPr>
          <w:rFonts w:asciiTheme="minorHAnsi" w:hAnsiTheme="minorHAnsi" w:cs="Times New Roman"/>
          <w:color w:val="000000" w:themeColor="text1"/>
          <w:sz w:val="22"/>
          <w:lang w:val="en-GB"/>
        </w:rPr>
        <w:t>A malfunction which can’t be rectified is considered an accidental breakdown. The ship should then switch to compliant fuel if the scrubber cannot be repaired within one hour.</w:t>
      </w:r>
    </w:p>
    <w:p w14:paraId="1BBDD77F" w14:textId="77777777" w:rsidR="00A92973" w:rsidRPr="00252071" w:rsidRDefault="00A92973" w:rsidP="000A73C2">
      <w:pPr>
        <w:pStyle w:val="Default"/>
        <w:ind w:left="-270" w:right="-692"/>
        <w:jc w:val="both"/>
        <w:rPr>
          <w:rFonts w:asciiTheme="minorHAnsi" w:hAnsiTheme="minorHAnsi" w:cs="Times New Roman"/>
          <w:color w:val="000000" w:themeColor="text1"/>
          <w:sz w:val="22"/>
          <w:szCs w:val="22"/>
          <w:lang w:val="en-GB" w:eastAsia="en-US"/>
        </w:rPr>
      </w:pPr>
    </w:p>
    <w:p w14:paraId="5D00EE23" w14:textId="77777777" w:rsidR="00A92973" w:rsidRPr="00252071" w:rsidRDefault="00A92973" w:rsidP="000A73C2">
      <w:pPr>
        <w:numPr>
          <w:ilvl w:val="4"/>
          <w:numId w:val="32"/>
        </w:numPr>
        <w:spacing w:after="0" w:line="240" w:lineRule="auto"/>
        <w:jc w:val="both"/>
        <w:rPr>
          <w:rFonts w:asciiTheme="minorHAnsi" w:hAnsiTheme="minorHAnsi" w:cs="Times New Roman"/>
          <w:color w:val="000000" w:themeColor="text1"/>
          <w:sz w:val="22"/>
          <w:lang w:val="en-GB"/>
        </w:rPr>
      </w:pPr>
      <w:r w:rsidRPr="00252071">
        <w:rPr>
          <w:rFonts w:asciiTheme="minorHAnsi" w:hAnsiTheme="minorHAnsi" w:cs="Times New Roman"/>
          <w:color w:val="000000" w:themeColor="text1"/>
          <w:sz w:val="22"/>
          <w:lang w:val="en-GB"/>
        </w:rPr>
        <w:t>As soon as possible after evidence of a malfunction (e.g. alarm is triggered), the ship should take action to identify and remedy the malfunction using maker provided Technical manual.</w:t>
      </w:r>
    </w:p>
    <w:p w14:paraId="07BCAE1A" w14:textId="77777777" w:rsidR="00A92973" w:rsidRPr="00252071" w:rsidRDefault="00A92973" w:rsidP="000A73C2">
      <w:pPr>
        <w:pStyle w:val="Default"/>
        <w:ind w:left="-270" w:right="-692"/>
        <w:jc w:val="both"/>
        <w:rPr>
          <w:rFonts w:asciiTheme="minorHAnsi" w:hAnsiTheme="minorHAnsi" w:cs="Times New Roman"/>
          <w:b/>
          <w:color w:val="000000" w:themeColor="text1"/>
          <w:sz w:val="22"/>
          <w:szCs w:val="22"/>
          <w:lang w:val="en-GB"/>
        </w:rPr>
      </w:pPr>
    </w:p>
    <w:p w14:paraId="6C6FD8CF" w14:textId="77777777" w:rsidR="00A92973" w:rsidRPr="00252071" w:rsidRDefault="00A92973" w:rsidP="000A73C2">
      <w:pPr>
        <w:numPr>
          <w:ilvl w:val="4"/>
          <w:numId w:val="32"/>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In case the vessel doesn’t have enough compliant fuel on board, or the malfunction lasts more than an hour or it is a case of repetitive malfunction, a proposed course of action, in order to bunker compliant fuel or carry out repair works, should be communicated to relevant authorities including the ship’s </w:t>
      </w:r>
      <w:r w:rsidRPr="00252071">
        <w:rPr>
          <w:rFonts w:asciiTheme="minorHAnsi" w:hAnsiTheme="minorHAnsi" w:cs="Times New Roman"/>
          <w:color w:val="000000" w:themeColor="text1"/>
          <w:sz w:val="22"/>
          <w:lang w:val="en-GB"/>
        </w:rPr>
        <w:t>administration</w:t>
      </w:r>
      <w:r w:rsidRPr="00252071">
        <w:rPr>
          <w:rFonts w:asciiTheme="minorHAnsi" w:hAnsiTheme="minorHAnsi"/>
          <w:color w:val="000000" w:themeColor="text1"/>
          <w:sz w:val="22"/>
        </w:rPr>
        <w:t xml:space="preserve">, for their agreement. The flag and port State’s will determine the appropriate action to take. </w:t>
      </w:r>
    </w:p>
    <w:p w14:paraId="19DD7456"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5FC4D9E3" w14:textId="77777777" w:rsidR="00A92973" w:rsidRPr="00252071" w:rsidRDefault="00A92973" w:rsidP="000A73C2">
      <w:pPr>
        <w:numPr>
          <w:ilvl w:val="4"/>
          <w:numId w:val="32"/>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For the exemption to be granted, the vessel would need to exhibit that due diligence had been exercised while the equipment was in operation, i.e. the maker’s recommended PMS has been followed and documented, </w:t>
      </w:r>
      <w:r w:rsidRPr="00252071">
        <w:rPr>
          <w:rFonts w:asciiTheme="minorHAnsi" w:hAnsiTheme="minorHAnsi" w:cs="Times New Roman"/>
          <w:color w:val="000000" w:themeColor="text1"/>
          <w:sz w:val="22"/>
          <w:lang w:val="en-GB"/>
        </w:rPr>
        <w:t>important</w:t>
      </w:r>
      <w:r w:rsidRPr="00252071">
        <w:rPr>
          <w:rFonts w:asciiTheme="minorHAnsi" w:hAnsiTheme="minorHAnsi"/>
          <w:color w:val="000000" w:themeColor="text1"/>
          <w:sz w:val="22"/>
        </w:rPr>
        <w:t xml:space="preserve"> spares have been maintained on board, redundancy arrangements provided as per the design are functional etc.</w:t>
      </w:r>
    </w:p>
    <w:p w14:paraId="1DE7C0B8" w14:textId="77777777" w:rsidR="00A92973" w:rsidRPr="00252071" w:rsidRDefault="00A92973" w:rsidP="000A73C2">
      <w:pPr>
        <w:pStyle w:val="Default"/>
        <w:ind w:left="-270" w:right="-692"/>
        <w:jc w:val="both"/>
        <w:rPr>
          <w:rFonts w:asciiTheme="minorHAnsi" w:hAnsiTheme="minorHAnsi" w:cs="Times New Roman"/>
          <w:color w:val="000000" w:themeColor="text1"/>
          <w:sz w:val="22"/>
          <w:szCs w:val="22"/>
          <w:lang w:val="en-GB" w:eastAsia="en-US"/>
        </w:rPr>
      </w:pPr>
    </w:p>
    <w:p w14:paraId="5ED911DB" w14:textId="77777777" w:rsidR="00A92973" w:rsidRPr="00252071" w:rsidRDefault="00A92973" w:rsidP="000A73C2">
      <w:pPr>
        <w:numPr>
          <w:ilvl w:val="4"/>
          <w:numId w:val="32"/>
        </w:numPr>
        <w:spacing w:after="0" w:line="240" w:lineRule="auto"/>
        <w:jc w:val="both"/>
        <w:rPr>
          <w:rFonts w:asciiTheme="minorHAnsi" w:hAnsiTheme="minorHAnsi" w:cs="Times New Roman"/>
          <w:color w:val="000000" w:themeColor="text1"/>
          <w:sz w:val="22"/>
          <w:lang w:val="en-GB"/>
        </w:rPr>
      </w:pPr>
      <w:r w:rsidRPr="00252071">
        <w:rPr>
          <w:rFonts w:asciiTheme="minorHAnsi" w:hAnsiTheme="minorHAnsi" w:cs="Times New Roman"/>
          <w:color w:val="000000" w:themeColor="text1"/>
          <w:sz w:val="22"/>
          <w:lang w:val="en-GB"/>
        </w:rPr>
        <w:t>An EGCS malfunction event should be included in the EGCS Record Book including the date and time the malfunction began and, if relevant, how it was resolved, the actions taken to resolve it and any necessary follow-up actions.</w:t>
      </w:r>
    </w:p>
    <w:p w14:paraId="488EF58B" w14:textId="77777777" w:rsidR="00A92973" w:rsidRPr="00252071" w:rsidRDefault="00A92973" w:rsidP="000A73C2">
      <w:pPr>
        <w:pStyle w:val="Default"/>
        <w:ind w:left="-270" w:right="-692"/>
        <w:jc w:val="both"/>
        <w:rPr>
          <w:rFonts w:asciiTheme="minorHAnsi" w:hAnsiTheme="minorHAnsi" w:cs="Times New Roman"/>
          <w:color w:val="000000" w:themeColor="text1"/>
          <w:sz w:val="22"/>
          <w:szCs w:val="22"/>
          <w:lang w:val="en-GB" w:eastAsia="en-US"/>
        </w:rPr>
      </w:pPr>
    </w:p>
    <w:p w14:paraId="2F6EC06C" w14:textId="77777777" w:rsidR="00A92973" w:rsidRPr="00252071" w:rsidRDefault="00A92973" w:rsidP="000A73C2">
      <w:pPr>
        <w:numPr>
          <w:ilvl w:val="4"/>
          <w:numId w:val="32"/>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For changeover required in case of scrubber failure or scrubber prohibited to be used in OPEN loop, vessels should use FOBAS </w:t>
      </w:r>
      <w:r w:rsidRPr="00252071">
        <w:rPr>
          <w:rFonts w:asciiTheme="minorHAnsi" w:hAnsiTheme="minorHAnsi" w:cs="Times New Roman"/>
          <w:color w:val="000000" w:themeColor="text1"/>
          <w:sz w:val="22"/>
          <w:lang w:val="en-GB"/>
        </w:rPr>
        <w:t>calculator</w:t>
      </w:r>
      <w:r w:rsidRPr="00252071">
        <w:rPr>
          <w:rFonts w:asciiTheme="minorHAnsi" w:hAnsiTheme="minorHAnsi"/>
          <w:color w:val="000000" w:themeColor="text1"/>
          <w:sz w:val="22"/>
        </w:rPr>
        <w:t xml:space="preserve"> version 6.1 provided in MDCS.</w:t>
      </w:r>
    </w:p>
    <w:p w14:paraId="46D8AA6D"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010F0479" w14:textId="77777777" w:rsidR="00A92973" w:rsidRPr="00252071" w:rsidRDefault="00A92973" w:rsidP="000A73C2">
      <w:pPr>
        <w:numPr>
          <w:ilvl w:val="4"/>
          <w:numId w:val="32"/>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One sensor failure should not be taken as a non-compliance but check for manual / alternative monitoring. A sensor </w:t>
      </w:r>
      <w:r w:rsidRPr="00252071">
        <w:rPr>
          <w:rFonts w:asciiTheme="minorHAnsi" w:hAnsiTheme="minorHAnsi" w:cs="Times New Roman"/>
          <w:color w:val="000000" w:themeColor="text1"/>
          <w:sz w:val="22"/>
          <w:lang w:val="en-GB"/>
        </w:rPr>
        <w:t>failure</w:t>
      </w:r>
      <w:r w:rsidRPr="00252071">
        <w:rPr>
          <w:rFonts w:asciiTheme="minorHAnsi" w:hAnsiTheme="minorHAnsi"/>
          <w:color w:val="000000" w:themeColor="text1"/>
          <w:sz w:val="22"/>
        </w:rPr>
        <w:t xml:space="preserve"> doesn’t necessarily qualify as malfunction as long as the EGCS performance can be verified by other parameters. In such case, records of interim indication for demonstrating compliance should be kept. Please refer to the MEPC.1/Circ.883 for all details.</w:t>
      </w:r>
    </w:p>
    <w:p w14:paraId="382B4683" w14:textId="77777777" w:rsidR="00A92973" w:rsidRPr="00252071" w:rsidRDefault="00A92973" w:rsidP="000A73C2">
      <w:pPr>
        <w:pStyle w:val="Default"/>
        <w:ind w:left="-270" w:right="-692"/>
        <w:jc w:val="both"/>
        <w:rPr>
          <w:rFonts w:asciiTheme="minorHAnsi" w:hAnsiTheme="minorHAnsi" w:cs="Times New Roman"/>
          <w:color w:val="000000" w:themeColor="text1"/>
          <w:sz w:val="22"/>
          <w:szCs w:val="22"/>
        </w:rPr>
      </w:pPr>
    </w:p>
    <w:p w14:paraId="6F3CDE0A" w14:textId="77777777" w:rsidR="00A92973" w:rsidRPr="00252071" w:rsidRDefault="00A92973" w:rsidP="000A73C2">
      <w:pPr>
        <w:numPr>
          <w:ilvl w:val="4"/>
          <w:numId w:val="32"/>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Beware of local restrictions and it must be confirmed from local agents without fail before discharging wash water from </w:t>
      </w:r>
      <w:r w:rsidRPr="00252071">
        <w:rPr>
          <w:rFonts w:asciiTheme="minorHAnsi" w:hAnsiTheme="minorHAnsi" w:cs="Times New Roman"/>
          <w:color w:val="000000" w:themeColor="text1"/>
          <w:sz w:val="22"/>
          <w:lang w:val="en-GB"/>
        </w:rPr>
        <w:t>exhaust</w:t>
      </w:r>
      <w:r w:rsidRPr="00252071">
        <w:rPr>
          <w:rFonts w:asciiTheme="minorHAnsi" w:hAnsiTheme="minorHAnsi"/>
          <w:color w:val="000000" w:themeColor="text1"/>
          <w:sz w:val="22"/>
        </w:rPr>
        <w:t xml:space="preserve"> gas scrubbing</w:t>
      </w:r>
    </w:p>
    <w:p w14:paraId="0D1F11C2" w14:textId="77777777" w:rsidR="00A92973" w:rsidRPr="00252071" w:rsidRDefault="00A92973" w:rsidP="000A73C2">
      <w:pPr>
        <w:ind w:left="-288" w:right="-576"/>
        <w:jc w:val="both"/>
        <w:rPr>
          <w:rFonts w:asciiTheme="minorHAnsi" w:hAnsiTheme="minorHAnsi"/>
          <w:color w:val="000000" w:themeColor="text1"/>
          <w:sz w:val="22"/>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280"/>
      </w:tblGrid>
      <w:tr w:rsidR="00252071" w:rsidRPr="00252071" w14:paraId="1F1C9C7B" w14:textId="77777777" w:rsidTr="000A73C2">
        <w:tc>
          <w:tcPr>
            <w:tcW w:w="720" w:type="dxa"/>
            <w:shd w:val="clear" w:color="auto" w:fill="auto"/>
          </w:tcPr>
          <w:p w14:paraId="7BF8F725" w14:textId="77777777" w:rsidR="00A92973" w:rsidRPr="00252071" w:rsidRDefault="00A92973" w:rsidP="000A73C2">
            <w:pPr>
              <w:jc w:val="both"/>
              <w:rPr>
                <w:rFonts w:asciiTheme="minorHAnsi" w:hAnsiTheme="minorHAnsi"/>
                <w:b/>
                <w:color w:val="000000" w:themeColor="text1"/>
                <w:sz w:val="22"/>
              </w:rPr>
            </w:pPr>
            <w:r w:rsidRPr="00252071">
              <w:rPr>
                <w:rFonts w:asciiTheme="minorHAnsi" w:hAnsiTheme="minorHAnsi"/>
                <w:b/>
                <w:color w:val="000000" w:themeColor="text1"/>
                <w:sz w:val="22"/>
              </w:rPr>
              <w:t>Step</w:t>
            </w:r>
          </w:p>
        </w:tc>
        <w:tc>
          <w:tcPr>
            <w:tcW w:w="8280" w:type="dxa"/>
            <w:shd w:val="clear" w:color="auto" w:fill="auto"/>
          </w:tcPr>
          <w:p w14:paraId="192E4513" w14:textId="77777777" w:rsidR="00A92973" w:rsidRPr="00252071" w:rsidRDefault="00A92973" w:rsidP="000A73C2">
            <w:pPr>
              <w:jc w:val="both"/>
              <w:rPr>
                <w:rFonts w:asciiTheme="minorHAnsi" w:hAnsiTheme="minorHAnsi"/>
                <w:b/>
                <w:color w:val="000000" w:themeColor="text1"/>
                <w:sz w:val="22"/>
              </w:rPr>
            </w:pPr>
            <w:r w:rsidRPr="00252071">
              <w:rPr>
                <w:rFonts w:asciiTheme="minorHAnsi" w:hAnsiTheme="minorHAnsi"/>
                <w:b/>
                <w:color w:val="000000" w:themeColor="text1"/>
                <w:sz w:val="22"/>
              </w:rPr>
              <w:t>Action for EGCS System failure</w:t>
            </w:r>
          </w:p>
        </w:tc>
      </w:tr>
      <w:tr w:rsidR="00252071" w:rsidRPr="00252071" w14:paraId="628FC0ED" w14:textId="77777777" w:rsidTr="000A73C2">
        <w:tc>
          <w:tcPr>
            <w:tcW w:w="720" w:type="dxa"/>
            <w:shd w:val="clear" w:color="auto" w:fill="auto"/>
          </w:tcPr>
          <w:p w14:paraId="27ABE577"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1</w:t>
            </w:r>
          </w:p>
        </w:tc>
        <w:tc>
          <w:tcPr>
            <w:tcW w:w="8280" w:type="dxa"/>
            <w:shd w:val="clear" w:color="auto" w:fill="auto"/>
          </w:tcPr>
          <w:p w14:paraId="088EC45A"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 xml:space="preserve">Ship takes action to identify and remedy the malfunction. Consult the troubleshooting chapter of the manufacturer provided EGCS Technical Manual which will include: </w:t>
            </w:r>
          </w:p>
          <w:p w14:paraId="680F540F" w14:textId="77777777" w:rsidR="00A92973" w:rsidRPr="00252071" w:rsidRDefault="00A92973" w:rsidP="000A73C2">
            <w:pPr>
              <w:numPr>
                <w:ilvl w:val="0"/>
                <w:numId w:val="1"/>
              </w:numPr>
              <w:overflowPunct w:val="0"/>
              <w:autoSpaceDE w:val="0"/>
              <w:autoSpaceDN w:val="0"/>
              <w:adjustRightInd w:val="0"/>
              <w:spacing w:after="0" w:line="240" w:lineRule="auto"/>
              <w:ind w:left="325"/>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 xml:space="preserve">a checklist/procedure for the operator to use to identify a malfunction; and </w:t>
            </w:r>
          </w:p>
          <w:p w14:paraId="2F18B976" w14:textId="77777777" w:rsidR="00A92973" w:rsidRPr="00252071" w:rsidRDefault="00A92973" w:rsidP="000A73C2">
            <w:pPr>
              <w:numPr>
                <w:ilvl w:val="0"/>
                <w:numId w:val="1"/>
              </w:numPr>
              <w:overflowPunct w:val="0"/>
              <w:autoSpaceDE w:val="0"/>
              <w:autoSpaceDN w:val="0"/>
              <w:adjustRightInd w:val="0"/>
              <w:spacing w:after="0" w:line="240" w:lineRule="auto"/>
              <w:ind w:left="325"/>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a list of remedial actions that can be taken to resolve the malfunction after it is identified.</w:t>
            </w:r>
          </w:p>
        </w:tc>
      </w:tr>
      <w:tr w:rsidR="00252071" w:rsidRPr="00252071" w14:paraId="32F68C36" w14:textId="77777777" w:rsidTr="000A73C2">
        <w:tc>
          <w:tcPr>
            <w:tcW w:w="720" w:type="dxa"/>
            <w:shd w:val="clear" w:color="auto" w:fill="auto"/>
          </w:tcPr>
          <w:p w14:paraId="3FE934DD"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2</w:t>
            </w:r>
          </w:p>
        </w:tc>
        <w:tc>
          <w:tcPr>
            <w:tcW w:w="8280" w:type="dxa"/>
            <w:shd w:val="clear" w:color="auto" w:fill="auto"/>
          </w:tcPr>
          <w:p w14:paraId="709DEA48"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 xml:space="preserve">If the system’s malfunction is not rectified in ONE HOUR, this is regarded as an accidental breakdown. </w:t>
            </w:r>
          </w:p>
          <w:p w14:paraId="7531D0DA" w14:textId="77777777" w:rsidR="00A92973" w:rsidRPr="00252071" w:rsidRDefault="00A92973" w:rsidP="000A73C2">
            <w:pPr>
              <w:numPr>
                <w:ilvl w:val="0"/>
                <w:numId w:val="2"/>
              </w:numPr>
              <w:overflowPunct w:val="0"/>
              <w:autoSpaceDE w:val="0"/>
              <w:autoSpaceDN w:val="0"/>
              <w:adjustRightInd w:val="0"/>
              <w:spacing w:after="0" w:line="240" w:lineRule="auto"/>
              <w:ind w:left="55" w:hanging="9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 xml:space="preserve">Change over to compliant fuel oil immediately while keeping Tech PIC informed. </w:t>
            </w:r>
          </w:p>
          <w:p w14:paraId="13262F6A" w14:textId="77777777" w:rsidR="00A92973" w:rsidRPr="00252071" w:rsidRDefault="00A92973" w:rsidP="000A73C2">
            <w:pPr>
              <w:numPr>
                <w:ilvl w:val="0"/>
                <w:numId w:val="2"/>
              </w:numPr>
              <w:overflowPunct w:val="0"/>
              <w:autoSpaceDE w:val="0"/>
              <w:autoSpaceDN w:val="0"/>
              <w:adjustRightInd w:val="0"/>
              <w:spacing w:after="0" w:line="240" w:lineRule="auto"/>
              <w:ind w:left="55" w:hanging="9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 xml:space="preserve">Record-keeping is vital. </w:t>
            </w:r>
          </w:p>
          <w:p w14:paraId="3AF59E7F" w14:textId="77777777" w:rsidR="00A92973" w:rsidRPr="00252071" w:rsidRDefault="00A92973" w:rsidP="000A73C2">
            <w:pPr>
              <w:numPr>
                <w:ilvl w:val="0"/>
                <w:numId w:val="2"/>
              </w:numPr>
              <w:overflowPunct w:val="0"/>
              <w:autoSpaceDE w:val="0"/>
              <w:autoSpaceDN w:val="0"/>
              <w:adjustRightInd w:val="0"/>
              <w:spacing w:after="0" w:line="240" w:lineRule="auto"/>
              <w:ind w:left="55" w:hanging="9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If the ship does not have compliant fuel oil, or a sufficient amount of compliant fuel oil on board, the ship should communicate this to the relevant authorities, including the ship’s Flag Administration, for their agreement, a proposed course of action to either proceed with non-compliant fuel to next Port of call, bunker compliant fuel oil or to carry out repair works.</w:t>
            </w:r>
          </w:p>
          <w:p w14:paraId="7BCE2F52" w14:textId="77777777" w:rsidR="00A92973" w:rsidRPr="00252071" w:rsidRDefault="00A92973" w:rsidP="000A73C2">
            <w:pPr>
              <w:jc w:val="both"/>
              <w:rPr>
                <w:rFonts w:asciiTheme="minorHAnsi" w:hAnsiTheme="minorHAnsi"/>
                <w:color w:val="000000" w:themeColor="text1"/>
                <w:sz w:val="22"/>
              </w:rPr>
            </w:pPr>
          </w:p>
          <w:p w14:paraId="2FFA5E0B"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 xml:space="preserve">Any EGCS malfunction that lasts more than ONE HOUR, or REPETITIVE malfunctions, should be reported to the Flag and Port </w:t>
            </w:r>
            <w:r w:rsidR="004060B6" w:rsidRPr="00252071">
              <w:rPr>
                <w:rFonts w:asciiTheme="minorHAnsi" w:hAnsiTheme="minorHAnsi"/>
                <w:color w:val="000000" w:themeColor="text1"/>
                <w:sz w:val="22"/>
              </w:rPr>
              <w:t>States</w:t>
            </w:r>
            <w:r w:rsidRPr="00252071">
              <w:rPr>
                <w:rFonts w:asciiTheme="minorHAnsi" w:hAnsiTheme="minorHAnsi"/>
                <w:color w:val="000000" w:themeColor="text1"/>
                <w:sz w:val="22"/>
              </w:rPr>
              <w:t xml:space="preserve"> Administration along with an explanation of the steps the ship operator is taking to address the failure including bunkering arrangement for Compliant fuel.</w:t>
            </w:r>
          </w:p>
        </w:tc>
      </w:tr>
      <w:tr w:rsidR="00252071" w:rsidRPr="00252071" w14:paraId="534B1436" w14:textId="77777777" w:rsidTr="000A73C2">
        <w:tc>
          <w:tcPr>
            <w:tcW w:w="720" w:type="dxa"/>
            <w:shd w:val="clear" w:color="auto" w:fill="auto"/>
          </w:tcPr>
          <w:p w14:paraId="376DC0A5"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3</w:t>
            </w:r>
          </w:p>
        </w:tc>
        <w:tc>
          <w:tcPr>
            <w:tcW w:w="8280" w:type="dxa"/>
            <w:shd w:val="clear" w:color="auto" w:fill="auto"/>
          </w:tcPr>
          <w:p w14:paraId="0884494B" w14:textId="77777777" w:rsidR="00A92973" w:rsidRPr="00252071" w:rsidRDefault="00A92973" w:rsidP="000A73C2">
            <w:pPr>
              <w:numPr>
                <w:ilvl w:val="0"/>
                <w:numId w:val="3"/>
              </w:numPr>
              <w:overflowPunct w:val="0"/>
              <w:autoSpaceDE w:val="0"/>
              <w:autoSpaceDN w:val="0"/>
              <w:adjustRightInd w:val="0"/>
              <w:spacing w:after="0" w:line="240" w:lineRule="auto"/>
              <w:ind w:left="325"/>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 xml:space="preserve">Check data of all monitoring sensors (pH, PAH, turbidity). </w:t>
            </w:r>
          </w:p>
          <w:p w14:paraId="55FC836F" w14:textId="77777777" w:rsidR="00A92973" w:rsidRPr="00252071" w:rsidRDefault="00A92973" w:rsidP="000A73C2">
            <w:pPr>
              <w:numPr>
                <w:ilvl w:val="0"/>
                <w:numId w:val="3"/>
              </w:numPr>
              <w:overflowPunct w:val="0"/>
              <w:autoSpaceDE w:val="0"/>
              <w:autoSpaceDN w:val="0"/>
              <w:adjustRightInd w:val="0"/>
              <w:spacing w:after="0" w:line="240" w:lineRule="auto"/>
              <w:ind w:left="235" w:hanging="18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The effect on the other parameters may indicate whether the change in signal is caused by sensor failure or whether the performance of the EGCS itself has changed. If the other parameters are continuing at normal levels, it is an indication that there is only an instrumentation malfunction rather than non-compliance regarding the levels allowed in the exhaust gas and the discharge water.</w:t>
            </w:r>
          </w:p>
        </w:tc>
      </w:tr>
      <w:tr w:rsidR="00252071" w:rsidRPr="00252071" w14:paraId="38625906" w14:textId="77777777" w:rsidTr="000A73C2">
        <w:tc>
          <w:tcPr>
            <w:tcW w:w="720" w:type="dxa"/>
            <w:shd w:val="clear" w:color="auto" w:fill="auto"/>
          </w:tcPr>
          <w:p w14:paraId="02534220"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4</w:t>
            </w:r>
          </w:p>
        </w:tc>
        <w:tc>
          <w:tcPr>
            <w:tcW w:w="8280" w:type="dxa"/>
            <w:shd w:val="clear" w:color="auto" w:fill="auto"/>
          </w:tcPr>
          <w:p w14:paraId="4F1C6552"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 xml:space="preserve">Ship keeps the following records of interim indications for demonstrating compliance (but not limited to): </w:t>
            </w:r>
          </w:p>
          <w:p w14:paraId="0F67CE44" w14:textId="77777777" w:rsidR="00A92973" w:rsidRPr="00252071" w:rsidRDefault="00A92973" w:rsidP="000A73C2">
            <w:pPr>
              <w:numPr>
                <w:ilvl w:val="0"/>
                <w:numId w:val="4"/>
              </w:numPr>
              <w:overflowPunct w:val="0"/>
              <w:autoSpaceDE w:val="0"/>
              <w:autoSpaceDN w:val="0"/>
              <w:adjustRightInd w:val="0"/>
              <w:spacing w:after="0" w:line="240" w:lineRule="auto"/>
              <w:ind w:left="145" w:hanging="9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 xml:space="preserve">record of the data at the time of malfunction; </w:t>
            </w:r>
          </w:p>
          <w:p w14:paraId="1C60B829" w14:textId="77777777" w:rsidR="00A92973" w:rsidRPr="00252071" w:rsidRDefault="00A92973" w:rsidP="000A73C2">
            <w:pPr>
              <w:numPr>
                <w:ilvl w:val="0"/>
                <w:numId w:val="4"/>
              </w:numPr>
              <w:overflowPunct w:val="0"/>
              <w:autoSpaceDE w:val="0"/>
              <w:autoSpaceDN w:val="0"/>
              <w:adjustRightInd w:val="0"/>
              <w:spacing w:after="0" w:line="240" w:lineRule="auto"/>
              <w:ind w:left="145" w:hanging="9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 xml:space="preserve">record of the sulphur content of the various grades of fuel oil used from the time when the malfunction started; </w:t>
            </w:r>
          </w:p>
          <w:p w14:paraId="4585ABE0" w14:textId="77777777" w:rsidR="00A92973" w:rsidRPr="00252071" w:rsidRDefault="00A92973" w:rsidP="000A73C2">
            <w:pPr>
              <w:numPr>
                <w:ilvl w:val="0"/>
                <w:numId w:val="4"/>
              </w:numPr>
              <w:overflowPunct w:val="0"/>
              <w:autoSpaceDE w:val="0"/>
              <w:autoSpaceDN w:val="0"/>
              <w:adjustRightInd w:val="0"/>
              <w:spacing w:after="0" w:line="240" w:lineRule="auto"/>
              <w:ind w:left="145" w:hanging="9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 xml:space="preserve">log the malfunctioning of the monitoring equipment and (for Scheme A) record all parameters that might be considered suitable to indicate compliant operation; and </w:t>
            </w:r>
          </w:p>
          <w:p w14:paraId="341F85F2" w14:textId="77777777" w:rsidR="00A92973" w:rsidRPr="00252071" w:rsidRDefault="00A92973" w:rsidP="000A73C2">
            <w:pPr>
              <w:numPr>
                <w:ilvl w:val="0"/>
                <w:numId w:val="4"/>
              </w:numPr>
              <w:overflowPunct w:val="0"/>
              <w:autoSpaceDE w:val="0"/>
              <w:autoSpaceDN w:val="0"/>
              <w:adjustRightInd w:val="0"/>
              <w:spacing w:after="0" w:line="240" w:lineRule="auto"/>
              <w:ind w:left="145" w:hanging="90"/>
              <w:jc w:val="both"/>
              <w:textAlignment w:val="baseline"/>
              <w:rPr>
                <w:rFonts w:asciiTheme="minorHAnsi" w:hAnsiTheme="minorHAnsi"/>
                <w:color w:val="000000" w:themeColor="text1"/>
                <w:sz w:val="22"/>
              </w:rPr>
            </w:pPr>
            <w:r w:rsidRPr="00252071">
              <w:rPr>
                <w:rFonts w:asciiTheme="minorHAnsi" w:hAnsiTheme="minorHAnsi"/>
                <w:color w:val="000000" w:themeColor="text1"/>
                <w:sz w:val="22"/>
              </w:rPr>
              <w:t>the monitoring equipment that has suffered a malfunction should be repaired or replaced as soon as practicable.</w:t>
            </w:r>
          </w:p>
        </w:tc>
      </w:tr>
      <w:tr w:rsidR="00252071" w:rsidRPr="00252071" w14:paraId="6F405291" w14:textId="77777777" w:rsidTr="000A73C2">
        <w:tc>
          <w:tcPr>
            <w:tcW w:w="720" w:type="dxa"/>
            <w:shd w:val="clear" w:color="auto" w:fill="auto"/>
          </w:tcPr>
          <w:p w14:paraId="2FFE194A"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5</w:t>
            </w:r>
          </w:p>
        </w:tc>
        <w:tc>
          <w:tcPr>
            <w:tcW w:w="8280" w:type="dxa"/>
            <w:shd w:val="clear" w:color="auto" w:fill="auto"/>
          </w:tcPr>
          <w:p w14:paraId="421D0B1E"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Record any EGCS malfunction event in the EGCS Record Book including the date and time the malfunction began and, if relevant, how it was resolved, the actions taken to resolve it and any necessary follow-up actions.</w:t>
            </w:r>
          </w:p>
        </w:tc>
      </w:tr>
      <w:tr w:rsidR="00252071" w:rsidRPr="00252071" w14:paraId="1032DC2D" w14:textId="77777777" w:rsidTr="000A73C2">
        <w:tc>
          <w:tcPr>
            <w:tcW w:w="720" w:type="dxa"/>
            <w:shd w:val="clear" w:color="auto" w:fill="auto"/>
          </w:tcPr>
          <w:p w14:paraId="11AC6842"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6</w:t>
            </w:r>
          </w:p>
        </w:tc>
        <w:tc>
          <w:tcPr>
            <w:tcW w:w="8280" w:type="dxa"/>
            <w:shd w:val="clear" w:color="auto" w:fill="auto"/>
          </w:tcPr>
          <w:p w14:paraId="1E286EE4"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In case the compliant fuel oil is not enough, Master should inform office immediately as Permission to use non-compliant fuel oil shall be required from local port authorities and / or Flag State.</w:t>
            </w:r>
          </w:p>
        </w:tc>
      </w:tr>
    </w:tbl>
    <w:p w14:paraId="0A35586F" w14:textId="77777777" w:rsidR="00A92973" w:rsidRPr="00252071" w:rsidRDefault="00A92973" w:rsidP="000A73C2">
      <w:pPr>
        <w:pStyle w:val="Default"/>
        <w:ind w:left="-270" w:right="-692"/>
        <w:jc w:val="both"/>
        <w:rPr>
          <w:rFonts w:asciiTheme="minorHAnsi" w:hAnsiTheme="minorHAnsi"/>
          <w:b/>
          <w:bCs/>
          <w:color w:val="000000" w:themeColor="text1"/>
          <w:sz w:val="22"/>
        </w:rPr>
      </w:pPr>
    </w:p>
    <w:p w14:paraId="3B8E42A3" w14:textId="77777777" w:rsidR="00A92973" w:rsidRPr="00252071" w:rsidRDefault="00A92973" w:rsidP="000A73C2">
      <w:pPr>
        <w:pStyle w:val="Heading1"/>
        <w:keepLines w:val="0"/>
        <w:numPr>
          <w:ilvl w:val="3"/>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s="Times New Roman"/>
          <w:bCs/>
          <w:color w:val="000000" w:themeColor="text1"/>
          <w:sz w:val="22"/>
          <w:szCs w:val="22"/>
          <w:u w:val="single"/>
        </w:rPr>
      </w:pPr>
      <w:r w:rsidRPr="00252071">
        <w:rPr>
          <w:rFonts w:asciiTheme="minorHAnsi" w:hAnsiTheme="minorHAnsi" w:cs="Times New Roman"/>
          <w:bCs/>
          <w:color w:val="000000" w:themeColor="text1"/>
          <w:sz w:val="22"/>
          <w:szCs w:val="22"/>
          <w:u w:val="single"/>
        </w:rPr>
        <w:t>Prohibition on Use of Open Type Scrubber</w:t>
      </w:r>
    </w:p>
    <w:p w14:paraId="5B9F366A" w14:textId="77777777" w:rsidR="00A92973" w:rsidRPr="00252071" w:rsidRDefault="00A92973" w:rsidP="000A73C2">
      <w:pPr>
        <w:pStyle w:val="Default"/>
        <w:ind w:left="-270" w:right="-692"/>
        <w:jc w:val="both"/>
        <w:rPr>
          <w:rFonts w:asciiTheme="minorHAnsi" w:hAnsiTheme="minorHAnsi"/>
          <w:color w:val="000000" w:themeColor="text1"/>
          <w:sz w:val="22"/>
        </w:rPr>
      </w:pP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190"/>
      </w:tblGrid>
      <w:tr w:rsidR="00252071" w:rsidRPr="00252071" w14:paraId="7D51F414" w14:textId="77777777" w:rsidTr="000A73C2">
        <w:tc>
          <w:tcPr>
            <w:tcW w:w="720" w:type="dxa"/>
            <w:shd w:val="clear" w:color="auto" w:fill="auto"/>
          </w:tcPr>
          <w:p w14:paraId="05F75A20" w14:textId="77777777" w:rsidR="00A92973" w:rsidRPr="00252071" w:rsidRDefault="00A92973" w:rsidP="000A73C2">
            <w:pPr>
              <w:jc w:val="both"/>
              <w:rPr>
                <w:rFonts w:asciiTheme="minorHAnsi" w:hAnsiTheme="minorHAnsi"/>
                <w:b/>
                <w:color w:val="000000" w:themeColor="text1"/>
                <w:sz w:val="22"/>
              </w:rPr>
            </w:pPr>
            <w:r w:rsidRPr="00252071">
              <w:rPr>
                <w:rFonts w:asciiTheme="minorHAnsi" w:hAnsiTheme="minorHAnsi"/>
                <w:b/>
                <w:color w:val="000000" w:themeColor="text1"/>
                <w:sz w:val="22"/>
              </w:rPr>
              <w:t>Step</w:t>
            </w:r>
          </w:p>
        </w:tc>
        <w:tc>
          <w:tcPr>
            <w:tcW w:w="8190" w:type="dxa"/>
            <w:shd w:val="clear" w:color="auto" w:fill="auto"/>
          </w:tcPr>
          <w:p w14:paraId="7D493A63" w14:textId="77777777" w:rsidR="00A92973" w:rsidRPr="00252071" w:rsidRDefault="00A92973" w:rsidP="000A73C2">
            <w:pPr>
              <w:jc w:val="both"/>
              <w:rPr>
                <w:rFonts w:asciiTheme="minorHAnsi" w:hAnsiTheme="minorHAnsi"/>
                <w:b/>
                <w:color w:val="000000" w:themeColor="text1"/>
                <w:sz w:val="22"/>
              </w:rPr>
            </w:pPr>
            <w:r w:rsidRPr="00252071">
              <w:rPr>
                <w:rFonts w:asciiTheme="minorHAnsi" w:hAnsiTheme="minorHAnsi"/>
                <w:b/>
                <w:color w:val="000000" w:themeColor="text1"/>
                <w:sz w:val="22"/>
              </w:rPr>
              <w:t>Action for Vessel with Open Type EGCS System where Scrubber discharge is prohibited</w:t>
            </w:r>
          </w:p>
        </w:tc>
      </w:tr>
      <w:tr w:rsidR="00252071" w:rsidRPr="00252071" w14:paraId="0E8EE056" w14:textId="77777777" w:rsidTr="000A73C2">
        <w:tc>
          <w:tcPr>
            <w:tcW w:w="720" w:type="dxa"/>
            <w:shd w:val="clear" w:color="auto" w:fill="auto"/>
          </w:tcPr>
          <w:p w14:paraId="4C0D96E1" w14:textId="77777777" w:rsidR="00A92973" w:rsidRPr="00252071" w:rsidRDefault="00A92973" w:rsidP="000A73C2">
            <w:pPr>
              <w:jc w:val="both"/>
              <w:rPr>
                <w:rFonts w:asciiTheme="minorHAnsi" w:hAnsiTheme="minorHAnsi"/>
                <w:bCs/>
                <w:color w:val="000000" w:themeColor="text1"/>
                <w:sz w:val="22"/>
              </w:rPr>
            </w:pPr>
            <w:r w:rsidRPr="00252071">
              <w:rPr>
                <w:rFonts w:asciiTheme="minorHAnsi" w:hAnsiTheme="minorHAnsi"/>
                <w:bCs/>
                <w:color w:val="000000" w:themeColor="text1"/>
                <w:sz w:val="22"/>
              </w:rPr>
              <w:t>1</w:t>
            </w:r>
          </w:p>
        </w:tc>
        <w:tc>
          <w:tcPr>
            <w:tcW w:w="8190" w:type="dxa"/>
            <w:shd w:val="clear" w:color="auto" w:fill="auto"/>
          </w:tcPr>
          <w:p w14:paraId="40621A11" w14:textId="77777777" w:rsidR="00A92973" w:rsidRPr="00252071" w:rsidRDefault="00A92973" w:rsidP="000A73C2">
            <w:pPr>
              <w:jc w:val="both"/>
              <w:rPr>
                <w:rFonts w:asciiTheme="minorHAnsi" w:hAnsiTheme="minorHAnsi"/>
                <w:bCs/>
                <w:color w:val="000000" w:themeColor="text1"/>
                <w:sz w:val="22"/>
              </w:rPr>
            </w:pPr>
            <w:r w:rsidRPr="00252071">
              <w:rPr>
                <w:rFonts w:asciiTheme="minorHAnsi" w:hAnsiTheme="minorHAnsi"/>
                <w:color w:val="000000" w:themeColor="text1"/>
                <w:sz w:val="22"/>
              </w:rPr>
              <w:t>Vessel should positively confirm with local agents for details of local regulations regarding scrubber drain discharging prior to entry because the local regulation may change without any notification.</w:t>
            </w:r>
          </w:p>
        </w:tc>
      </w:tr>
      <w:tr w:rsidR="00252071" w:rsidRPr="00252071" w14:paraId="611D5A2F" w14:textId="77777777" w:rsidTr="000A73C2">
        <w:tc>
          <w:tcPr>
            <w:tcW w:w="720" w:type="dxa"/>
            <w:shd w:val="clear" w:color="auto" w:fill="auto"/>
          </w:tcPr>
          <w:p w14:paraId="1A40F4C6"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2</w:t>
            </w:r>
          </w:p>
        </w:tc>
        <w:tc>
          <w:tcPr>
            <w:tcW w:w="8190" w:type="dxa"/>
            <w:shd w:val="clear" w:color="auto" w:fill="auto"/>
          </w:tcPr>
          <w:p w14:paraId="48FB05E1"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Vessel should switch fuel from HSFO to compliant fuel such as Very Low Sulphur Fuel (VLSFO) or Low Sulphur Gas Oil (LSGO) prior to enter the prohibited area.</w:t>
            </w:r>
          </w:p>
        </w:tc>
      </w:tr>
      <w:tr w:rsidR="00252071" w:rsidRPr="00252071" w14:paraId="6F5CB1C7" w14:textId="77777777" w:rsidTr="000A73C2">
        <w:tc>
          <w:tcPr>
            <w:tcW w:w="720" w:type="dxa"/>
            <w:shd w:val="clear" w:color="auto" w:fill="auto"/>
          </w:tcPr>
          <w:p w14:paraId="3E19A7EC"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3</w:t>
            </w:r>
          </w:p>
        </w:tc>
        <w:tc>
          <w:tcPr>
            <w:tcW w:w="8190" w:type="dxa"/>
            <w:shd w:val="clear" w:color="auto" w:fill="auto"/>
          </w:tcPr>
          <w:p w14:paraId="794BE352"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Fuel switching should be started with an enough margin and completed before entering the prohibited area.</w:t>
            </w:r>
          </w:p>
        </w:tc>
      </w:tr>
      <w:tr w:rsidR="00252071" w:rsidRPr="00252071" w14:paraId="559CB745" w14:textId="77777777" w:rsidTr="000A73C2">
        <w:tc>
          <w:tcPr>
            <w:tcW w:w="720" w:type="dxa"/>
            <w:shd w:val="clear" w:color="auto" w:fill="auto"/>
          </w:tcPr>
          <w:p w14:paraId="521D1C33"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4</w:t>
            </w:r>
          </w:p>
        </w:tc>
        <w:tc>
          <w:tcPr>
            <w:tcW w:w="8190" w:type="dxa"/>
            <w:shd w:val="clear" w:color="auto" w:fill="auto"/>
          </w:tcPr>
          <w:p w14:paraId="41CFA293" w14:textId="77777777" w:rsidR="00A92973" w:rsidRPr="00252071" w:rsidRDefault="00A92973" w:rsidP="000A73C2">
            <w:pPr>
              <w:jc w:val="both"/>
              <w:rPr>
                <w:rFonts w:asciiTheme="minorHAnsi" w:hAnsiTheme="minorHAnsi"/>
                <w:i/>
                <w:iCs/>
                <w:color w:val="000000" w:themeColor="text1"/>
                <w:sz w:val="22"/>
              </w:rPr>
            </w:pPr>
            <w:r w:rsidRPr="00252071">
              <w:rPr>
                <w:rFonts w:asciiTheme="minorHAnsi" w:hAnsiTheme="minorHAnsi"/>
                <w:color w:val="000000" w:themeColor="text1"/>
                <w:sz w:val="22"/>
              </w:rPr>
              <w:t xml:space="preserve">For the calculation of required time for fuel switching, vessel should use calculation tool Lloyd's FOBAS calculator. </w:t>
            </w:r>
            <w:r w:rsidRPr="00252071">
              <w:rPr>
                <w:rFonts w:asciiTheme="minorHAnsi" w:hAnsiTheme="minorHAnsi"/>
                <w:i/>
                <w:iCs/>
                <w:color w:val="000000" w:themeColor="text1"/>
                <w:sz w:val="22"/>
              </w:rPr>
              <w:t>(Refer EMS-4-6-6)</w:t>
            </w:r>
          </w:p>
        </w:tc>
      </w:tr>
      <w:tr w:rsidR="00252071" w:rsidRPr="00252071" w14:paraId="01D2B912" w14:textId="77777777" w:rsidTr="000A73C2">
        <w:tc>
          <w:tcPr>
            <w:tcW w:w="720" w:type="dxa"/>
            <w:shd w:val="clear" w:color="auto" w:fill="auto"/>
          </w:tcPr>
          <w:p w14:paraId="782FB20C"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5</w:t>
            </w:r>
          </w:p>
        </w:tc>
        <w:tc>
          <w:tcPr>
            <w:tcW w:w="8190" w:type="dxa"/>
            <w:shd w:val="clear" w:color="auto" w:fill="auto"/>
          </w:tcPr>
          <w:p w14:paraId="58CE6A59"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For the commencement of fuel switching, the vessel should consider the traffic situation, narrow channel and so on of the vessel.</w:t>
            </w:r>
          </w:p>
        </w:tc>
      </w:tr>
      <w:tr w:rsidR="00252071" w:rsidRPr="00252071" w14:paraId="142E001C" w14:textId="77777777" w:rsidTr="000A73C2">
        <w:tc>
          <w:tcPr>
            <w:tcW w:w="720" w:type="dxa"/>
            <w:shd w:val="clear" w:color="auto" w:fill="auto"/>
          </w:tcPr>
          <w:p w14:paraId="0C1287C3"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6</w:t>
            </w:r>
          </w:p>
        </w:tc>
        <w:tc>
          <w:tcPr>
            <w:tcW w:w="8190" w:type="dxa"/>
            <w:shd w:val="clear" w:color="auto" w:fill="auto"/>
          </w:tcPr>
          <w:p w14:paraId="3DEEFB5D"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Operational record of fuel switching should be properly kept onboard as well. (Ship logbook, C/E logbook, MARPOL Annex VI logbook)</w:t>
            </w:r>
          </w:p>
        </w:tc>
      </w:tr>
      <w:tr w:rsidR="00252071" w:rsidRPr="00252071" w14:paraId="41A8113A" w14:textId="77777777" w:rsidTr="000A73C2">
        <w:tc>
          <w:tcPr>
            <w:tcW w:w="720" w:type="dxa"/>
            <w:shd w:val="clear" w:color="auto" w:fill="auto"/>
          </w:tcPr>
          <w:p w14:paraId="43C6FADA"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7</w:t>
            </w:r>
          </w:p>
        </w:tc>
        <w:tc>
          <w:tcPr>
            <w:tcW w:w="8190" w:type="dxa"/>
            <w:shd w:val="clear" w:color="auto" w:fill="auto"/>
          </w:tcPr>
          <w:p w14:paraId="43925E61"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Precautions for fuel switching operation using VLSFO or LSGO:</w:t>
            </w:r>
          </w:p>
          <w:p w14:paraId="613B7944"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Refer EMS-4-6-6</w:t>
            </w:r>
          </w:p>
        </w:tc>
      </w:tr>
      <w:tr w:rsidR="00252071" w:rsidRPr="00252071" w14:paraId="0C04C12C" w14:textId="77777777" w:rsidTr="000A73C2">
        <w:tc>
          <w:tcPr>
            <w:tcW w:w="720" w:type="dxa"/>
            <w:shd w:val="clear" w:color="auto" w:fill="auto"/>
          </w:tcPr>
          <w:p w14:paraId="67A9AAA5"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8</w:t>
            </w:r>
          </w:p>
        </w:tc>
        <w:tc>
          <w:tcPr>
            <w:tcW w:w="8190" w:type="dxa"/>
            <w:shd w:val="clear" w:color="auto" w:fill="auto"/>
          </w:tcPr>
          <w:p w14:paraId="73046E34" w14:textId="77777777" w:rsidR="00A92973" w:rsidRPr="00252071" w:rsidRDefault="00A92973" w:rsidP="000A73C2">
            <w:pPr>
              <w:jc w:val="both"/>
              <w:rPr>
                <w:rFonts w:asciiTheme="minorHAnsi" w:hAnsiTheme="minorHAnsi"/>
                <w:color w:val="000000" w:themeColor="text1"/>
                <w:sz w:val="22"/>
              </w:rPr>
            </w:pPr>
            <w:r w:rsidRPr="00252071">
              <w:rPr>
                <w:rFonts w:asciiTheme="minorHAnsi" w:hAnsiTheme="minorHAnsi"/>
                <w:color w:val="000000" w:themeColor="text1"/>
                <w:sz w:val="22"/>
              </w:rPr>
              <w:t>If a high-risk area (HRA) is set in front of the restricted area, instruction at HRA will be given priority. (Start to change fuel 48 hrs before entering HRA)</w:t>
            </w:r>
          </w:p>
        </w:tc>
      </w:tr>
    </w:tbl>
    <w:p w14:paraId="2D736743" w14:textId="77777777" w:rsidR="00A92973" w:rsidRPr="00252071" w:rsidRDefault="00A92973" w:rsidP="000A73C2">
      <w:pPr>
        <w:pStyle w:val="Default"/>
        <w:ind w:left="-270" w:right="-692"/>
        <w:jc w:val="both"/>
        <w:rPr>
          <w:rFonts w:asciiTheme="minorHAnsi" w:hAnsiTheme="minorHAnsi"/>
          <w:b/>
          <w:color w:val="000000" w:themeColor="text1"/>
          <w:sz w:val="22"/>
          <w:lang w:val="en-SG"/>
        </w:rPr>
      </w:pPr>
    </w:p>
    <w:p w14:paraId="3F4D4A9C" w14:textId="77777777" w:rsidR="00A92973" w:rsidRPr="00252071" w:rsidRDefault="00A92973" w:rsidP="000A73C2">
      <w:pPr>
        <w:pStyle w:val="Heading1"/>
        <w:keepLines w:val="0"/>
        <w:numPr>
          <w:ilvl w:val="3"/>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Cs/>
          <w:color w:val="000000" w:themeColor="text1"/>
          <w:sz w:val="22"/>
          <w:u w:val="single"/>
          <w:lang w:val="en-US" w:eastAsia="ja-JP"/>
        </w:rPr>
      </w:pPr>
      <w:r w:rsidRPr="00252071">
        <w:rPr>
          <w:rFonts w:asciiTheme="minorHAnsi" w:hAnsiTheme="minorHAnsi"/>
          <w:bCs/>
          <w:color w:val="000000" w:themeColor="text1"/>
          <w:sz w:val="22"/>
          <w:u w:val="single"/>
          <w:lang w:val="en-SG" w:eastAsia="ja-JP"/>
        </w:rPr>
        <w:t>Actions in case of Short</w:t>
      </w:r>
      <w:r w:rsidRPr="00252071">
        <w:rPr>
          <w:rFonts w:asciiTheme="minorHAnsi" w:hAnsiTheme="minorHAnsi"/>
          <w:bCs/>
          <w:color w:val="000000" w:themeColor="text1"/>
          <w:sz w:val="22"/>
          <w:u w:val="single"/>
          <w:lang w:val="en-US" w:eastAsia="ja-JP"/>
        </w:rPr>
        <w:t xml:space="preserve">-term exceedances </w:t>
      </w:r>
    </w:p>
    <w:p w14:paraId="13341146" w14:textId="77777777" w:rsidR="00A92973" w:rsidRPr="00252071" w:rsidRDefault="00A92973" w:rsidP="000A73C2">
      <w:pPr>
        <w:pStyle w:val="Default"/>
        <w:ind w:left="-270" w:right="-692"/>
        <w:jc w:val="both"/>
        <w:rPr>
          <w:rFonts w:asciiTheme="minorHAnsi" w:hAnsiTheme="minorHAnsi"/>
          <w:color w:val="000000" w:themeColor="text1"/>
          <w:sz w:val="22"/>
        </w:rPr>
      </w:pPr>
    </w:p>
    <w:p w14:paraId="4F8772A9" w14:textId="77777777" w:rsidR="00A92973" w:rsidRPr="00252071" w:rsidRDefault="00A92973" w:rsidP="000A73C2">
      <w:pPr>
        <w:numPr>
          <w:ilvl w:val="4"/>
          <w:numId w:val="20"/>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A short-term temporary emission exceedance is an exceedance of the applicable Emissions Ratio that may occur due to the EGCS dynamic response when there is a sudden change in the exhaust gas flow rate to the EGCS. There may be a short period during which the measured emission values might indicate that the applicable Emissions Ratio limit has been exceeded. </w:t>
      </w:r>
    </w:p>
    <w:p w14:paraId="1A469B22"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21BA23BF" w14:textId="77777777" w:rsidR="00A92973" w:rsidRPr="00252071" w:rsidRDefault="00A92973" w:rsidP="000A73C2">
      <w:pPr>
        <w:numPr>
          <w:ilvl w:val="4"/>
          <w:numId w:val="20"/>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This is a common behavior of monitoring equipment and EGCS dynamic response (due to a sudden change in exhaust gas flow rate). A time lapse between when the sensor takes its reading and when the unit responds may trigger an alarm from the continuous emission monitoring device even though the EGCS has not malfunctioned. Thus, transitory periods and isolated spikes in the recorded output do not necessarily mean exceedance of emissions and should therefore not be considered as a breach of the requirements.</w:t>
      </w:r>
    </w:p>
    <w:p w14:paraId="7CFA194B" w14:textId="77777777" w:rsidR="00A92973" w:rsidRPr="00252071" w:rsidRDefault="00A92973" w:rsidP="000A73C2">
      <w:pPr>
        <w:spacing w:after="0" w:line="240" w:lineRule="auto"/>
        <w:ind w:left="936"/>
        <w:jc w:val="both"/>
        <w:rPr>
          <w:rFonts w:asciiTheme="minorHAnsi" w:hAnsiTheme="minorHAnsi"/>
          <w:color w:val="000000" w:themeColor="text1"/>
          <w:sz w:val="22"/>
        </w:rPr>
      </w:pPr>
    </w:p>
    <w:p w14:paraId="21A95A51" w14:textId="77777777" w:rsidR="00A92973" w:rsidRPr="00252071" w:rsidRDefault="00A92973" w:rsidP="000A73C2">
      <w:pPr>
        <w:numPr>
          <w:ilvl w:val="4"/>
          <w:numId w:val="20"/>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 typical operating conditions that may result in a short-term temporary emission exceedance are specified by the EGCS manufacturer in the EGCS Technical Manual that is approved at the time the EGCS is certified. </w:t>
      </w:r>
    </w:p>
    <w:p w14:paraId="78FAA9DE" w14:textId="77777777" w:rsidR="00A92973" w:rsidRPr="00252071" w:rsidRDefault="00A92973" w:rsidP="000A73C2">
      <w:pPr>
        <w:spacing w:after="0" w:line="240" w:lineRule="auto"/>
        <w:jc w:val="both"/>
        <w:rPr>
          <w:rFonts w:asciiTheme="minorHAnsi" w:hAnsiTheme="minorHAnsi"/>
          <w:color w:val="000000" w:themeColor="text1"/>
          <w:sz w:val="22"/>
        </w:rPr>
      </w:pPr>
    </w:p>
    <w:p w14:paraId="43539EB0" w14:textId="77777777" w:rsidR="00A92973" w:rsidRPr="00252071" w:rsidRDefault="00A92973" w:rsidP="000A73C2">
      <w:pPr>
        <w:pStyle w:val="Heading1"/>
        <w:keepLines w:val="0"/>
        <w:numPr>
          <w:ilvl w:val="3"/>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Cs/>
          <w:color w:val="000000" w:themeColor="text1"/>
          <w:sz w:val="22"/>
          <w:u w:val="single"/>
          <w:lang w:val="en-SG" w:eastAsia="ja-JP"/>
        </w:rPr>
      </w:pPr>
      <w:r w:rsidRPr="00252071">
        <w:rPr>
          <w:rFonts w:asciiTheme="minorHAnsi" w:hAnsiTheme="minorHAnsi"/>
          <w:bCs/>
          <w:color w:val="000000" w:themeColor="text1"/>
          <w:sz w:val="22"/>
          <w:u w:val="single"/>
          <w:lang w:val="en-SG" w:eastAsia="ja-JP"/>
        </w:rPr>
        <w:t xml:space="preserve">Interim indication of ongoing compliance in the case of sensor failure </w:t>
      </w:r>
    </w:p>
    <w:p w14:paraId="79FB9549" w14:textId="77777777" w:rsidR="00A92973" w:rsidRPr="00252071" w:rsidRDefault="00A92973" w:rsidP="000A73C2">
      <w:pPr>
        <w:spacing w:after="0" w:line="240" w:lineRule="auto"/>
        <w:jc w:val="both"/>
        <w:rPr>
          <w:rFonts w:asciiTheme="minorHAnsi" w:hAnsiTheme="minorHAnsi"/>
          <w:bCs/>
          <w:color w:val="000000" w:themeColor="text1"/>
          <w:sz w:val="22"/>
          <w:u w:val="single"/>
          <w:lang w:val="en-SG"/>
        </w:rPr>
      </w:pPr>
    </w:p>
    <w:p w14:paraId="439AF912" w14:textId="77777777" w:rsidR="00A92973" w:rsidRPr="00252071" w:rsidRDefault="00A92973" w:rsidP="000A73C2">
      <w:pPr>
        <w:numPr>
          <w:ilvl w:val="4"/>
          <w:numId w:val="21"/>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When running on a fuel oil with a constant sulphur content and at constant wash water engine load ratio, all parameters monitored according to the 2015 EGCS Guidelines (MEPC.259(68)) (i.e. Emission Ratio, wash water pH, etc.) will be in a certain interrelation, all depending on each other. If one of the parameters changes, some other(s) will necessarily also have to change. </w:t>
      </w:r>
    </w:p>
    <w:p w14:paraId="2B520294" w14:textId="77777777" w:rsidR="00A92973" w:rsidRPr="00252071" w:rsidRDefault="00A92973" w:rsidP="000A73C2">
      <w:pPr>
        <w:pStyle w:val="Default"/>
        <w:ind w:left="-270" w:right="-692"/>
        <w:jc w:val="both"/>
        <w:rPr>
          <w:rFonts w:asciiTheme="minorHAnsi" w:hAnsiTheme="minorHAnsi"/>
          <w:color w:val="000000" w:themeColor="text1"/>
          <w:sz w:val="22"/>
        </w:rPr>
      </w:pPr>
    </w:p>
    <w:p w14:paraId="0439B5D8" w14:textId="77777777" w:rsidR="00A92973" w:rsidRPr="00252071" w:rsidRDefault="00A92973" w:rsidP="000A73C2">
      <w:pPr>
        <w:numPr>
          <w:ilvl w:val="4"/>
          <w:numId w:val="21"/>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This interrelation also serves as an indicator of instrumentation malfunction; i.e. if a single sensor signal starts to deviate or even does not display, the effect on the other parameters may indicate whether the change in signal is caused by sensor failure or whether the performance of the EGCS itself has changed. If the other parameters are continuing at the normal levels, it is an indication that there is only an instrumentation malfunction rather than non-compliance regarding the levels allowed in the exhaust gas and the discharge water. </w:t>
      </w:r>
    </w:p>
    <w:p w14:paraId="3501DD49" w14:textId="77777777" w:rsidR="00A92973" w:rsidRPr="00252071" w:rsidRDefault="00A92973" w:rsidP="000A73C2">
      <w:pPr>
        <w:spacing w:after="0" w:line="240" w:lineRule="auto"/>
        <w:jc w:val="both"/>
        <w:rPr>
          <w:rFonts w:asciiTheme="minorHAnsi" w:hAnsiTheme="minorHAnsi"/>
          <w:color w:val="000000" w:themeColor="text1"/>
          <w:sz w:val="22"/>
        </w:rPr>
      </w:pPr>
    </w:p>
    <w:p w14:paraId="23930DBE" w14:textId="77777777" w:rsidR="00A92973" w:rsidRPr="00252071" w:rsidRDefault="00A92973" w:rsidP="000A73C2">
      <w:pPr>
        <w:numPr>
          <w:ilvl w:val="4"/>
          <w:numId w:val="21"/>
        </w:numPr>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If a malfunction occurs in the instrumentation for the monitoring of Emission Ratio or discharge water (pH, PAH, Turbidity), the ship should keep records of interim indication for demonstrating compliance. The documentation and actions should include (but are not limited to): </w:t>
      </w:r>
    </w:p>
    <w:p w14:paraId="5B82EBCB" w14:textId="77777777" w:rsidR="00A92973" w:rsidRPr="00252071" w:rsidRDefault="00A92973" w:rsidP="000A73C2">
      <w:pPr>
        <w:spacing w:after="0" w:line="240" w:lineRule="auto"/>
        <w:jc w:val="both"/>
        <w:rPr>
          <w:rFonts w:asciiTheme="minorHAnsi" w:hAnsiTheme="minorHAnsi"/>
          <w:color w:val="000000" w:themeColor="text1"/>
          <w:sz w:val="22"/>
        </w:rPr>
      </w:pPr>
    </w:p>
    <w:p w14:paraId="489CA64F" w14:textId="77777777" w:rsidR="00A92973" w:rsidRPr="00252071" w:rsidRDefault="00A92973" w:rsidP="000A73C2">
      <w:pPr>
        <w:numPr>
          <w:ilvl w:val="0"/>
          <w:numId w:val="22"/>
        </w:numPr>
        <w:tabs>
          <w:tab w:val="clear" w:pos="1008"/>
        </w:tabs>
        <w:spacing w:after="0" w:line="240" w:lineRule="auto"/>
        <w:jc w:val="both"/>
        <w:rPr>
          <w:rFonts w:asciiTheme="minorHAnsi" w:hAnsiTheme="minorHAnsi"/>
          <w:color w:val="000000" w:themeColor="text1"/>
          <w:sz w:val="22"/>
        </w:rPr>
      </w:pPr>
      <w:r w:rsidRPr="00252071">
        <w:rPr>
          <w:rFonts w:asciiTheme="minorHAnsi" w:eastAsia="Tahoma" w:hAnsiTheme="minorHAnsi" w:cstheme="minorHAnsi"/>
          <w:color w:val="000000" w:themeColor="text1"/>
          <w:sz w:val="22"/>
        </w:rPr>
        <w:t>the</w:t>
      </w:r>
      <w:r w:rsidRPr="00252071">
        <w:rPr>
          <w:rFonts w:asciiTheme="minorHAnsi" w:hAnsiTheme="minorHAnsi"/>
          <w:color w:val="000000" w:themeColor="text1"/>
          <w:sz w:val="22"/>
        </w:rPr>
        <w:t xml:space="preserve"> manual or automatic recording of the data at the time of malfunction may be used to confirm that all other relevant data as recorded for the performance of the EGCS are showing values in line with values prior to the malfunction;</w:t>
      </w:r>
    </w:p>
    <w:p w14:paraId="3CA4FD31" w14:textId="77777777" w:rsidR="00A92973" w:rsidRPr="00252071" w:rsidRDefault="00A92973" w:rsidP="000A73C2">
      <w:pPr>
        <w:numPr>
          <w:ilvl w:val="0"/>
          <w:numId w:val="22"/>
        </w:numPr>
        <w:tabs>
          <w:tab w:val="clear" w:pos="1008"/>
        </w:tabs>
        <w:spacing w:after="0" w:line="240" w:lineRule="auto"/>
        <w:jc w:val="both"/>
        <w:rPr>
          <w:rFonts w:asciiTheme="minorHAnsi" w:hAnsiTheme="minorHAnsi"/>
          <w:color w:val="000000" w:themeColor="text1"/>
          <w:sz w:val="22"/>
        </w:rPr>
      </w:pPr>
      <w:r w:rsidRPr="00252071">
        <w:rPr>
          <w:rFonts w:asciiTheme="minorHAnsi" w:eastAsia="Tahoma" w:hAnsiTheme="minorHAnsi" w:cstheme="minorHAnsi"/>
          <w:color w:val="000000" w:themeColor="text1"/>
          <w:sz w:val="22"/>
        </w:rPr>
        <w:t>the</w:t>
      </w:r>
      <w:r w:rsidRPr="00252071">
        <w:rPr>
          <w:rFonts w:asciiTheme="minorHAnsi" w:hAnsiTheme="minorHAnsi"/>
          <w:color w:val="000000" w:themeColor="text1"/>
          <w:sz w:val="22"/>
        </w:rPr>
        <w:t xml:space="preserve"> ship operator should record the sulphur content of the various grades of fuel oil used in the affected fuel oil combustion units from the time when the malfunction started; </w:t>
      </w:r>
    </w:p>
    <w:p w14:paraId="20920822" w14:textId="77777777" w:rsidR="00A92973" w:rsidRPr="00252071" w:rsidRDefault="00A92973" w:rsidP="000A73C2">
      <w:pPr>
        <w:numPr>
          <w:ilvl w:val="0"/>
          <w:numId w:val="22"/>
        </w:numPr>
        <w:tabs>
          <w:tab w:val="clear" w:pos="1008"/>
        </w:tabs>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 </w:t>
      </w:r>
      <w:r w:rsidRPr="00252071">
        <w:rPr>
          <w:rFonts w:asciiTheme="minorHAnsi" w:eastAsia="Tahoma" w:hAnsiTheme="minorHAnsi" w:cstheme="minorHAnsi"/>
          <w:color w:val="000000" w:themeColor="text1"/>
          <w:sz w:val="22"/>
        </w:rPr>
        <w:t>ship</w:t>
      </w:r>
      <w:r w:rsidRPr="00252071">
        <w:rPr>
          <w:rFonts w:asciiTheme="minorHAnsi" w:hAnsiTheme="minorHAnsi"/>
          <w:color w:val="000000" w:themeColor="text1"/>
          <w:sz w:val="22"/>
        </w:rPr>
        <w:t xml:space="preserve"> operator should log the malfunctioning of the monitoring equipment and (for Scheme A) record all parameters that might be suitable to indicate compliant operation. This record could serve as an alternative documentation demonstrating compliance until the malfunction is rectified; and </w:t>
      </w:r>
    </w:p>
    <w:p w14:paraId="1D4ED732" w14:textId="77777777" w:rsidR="00A92973" w:rsidRPr="00252071" w:rsidRDefault="00A92973" w:rsidP="000A73C2">
      <w:pPr>
        <w:numPr>
          <w:ilvl w:val="0"/>
          <w:numId w:val="22"/>
        </w:numPr>
        <w:tabs>
          <w:tab w:val="clear" w:pos="1008"/>
        </w:tabs>
        <w:spacing w:after="0" w:line="240" w:lineRule="auto"/>
        <w:jc w:val="both"/>
        <w:rPr>
          <w:rFonts w:asciiTheme="minorHAnsi" w:hAnsiTheme="minorHAnsi"/>
          <w:color w:val="000000" w:themeColor="text1"/>
          <w:sz w:val="22"/>
        </w:rPr>
      </w:pPr>
      <w:r w:rsidRPr="00252071">
        <w:rPr>
          <w:rFonts w:asciiTheme="minorHAnsi" w:hAnsiTheme="minorHAnsi"/>
          <w:color w:val="000000" w:themeColor="text1"/>
          <w:sz w:val="22"/>
        </w:rPr>
        <w:t xml:space="preserve">the monitoring equipment that has suffered a malfunction should be repaired or replaced as soon as practicable. </w:t>
      </w:r>
    </w:p>
    <w:p w14:paraId="74A260A5" w14:textId="77777777" w:rsidR="00A92973" w:rsidRPr="00252071" w:rsidRDefault="00A92973" w:rsidP="000A73C2">
      <w:pPr>
        <w:spacing w:after="0" w:line="240" w:lineRule="auto"/>
        <w:ind w:left="1224"/>
        <w:jc w:val="both"/>
        <w:rPr>
          <w:rFonts w:asciiTheme="minorHAnsi" w:hAnsiTheme="minorHAnsi"/>
          <w:color w:val="000000" w:themeColor="text1"/>
          <w:sz w:val="22"/>
        </w:rPr>
      </w:pPr>
    </w:p>
    <w:p w14:paraId="14627EB9" w14:textId="77777777" w:rsidR="00A92973" w:rsidRPr="00252071" w:rsidRDefault="00A92973" w:rsidP="000A73C2">
      <w:pPr>
        <w:pStyle w:val="Heading1"/>
        <w:keepLines w:val="0"/>
        <w:numPr>
          <w:ilvl w:val="3"/>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color w:val="000000" w:themeColor="text1"/>
          <w:sz w:val="22"/>
          <w:lang w:val="en-SG" w:eastAsia="ja-JP"/>
        </w:rPr>
      </w:pPr>
      <w:r w:rsidRPr="00252071">
        <w:rPr>
          <w:rFonts w:asciiTheme="minorHAnsi" w:hAnsiTheme="minorHAnsi"/>
          <w:color w:val="000000" w:themeColor="text1"/>
          <w:sz w:val="22"/>
          <w:lang w:val="en-SG" w:eastAsia="ja-JP"/>
        </w:rPr>
        <w:t>ROB fuel Management for EGCS Failure</w:t>
      </w:r>
    </w:p>
    <w:p w14:paraId="21A43E86" w14:textId="77777777" w:rsidR="00A92973" w:rsidRPr="00252071" w:rsidRDefault="00A92973" w:rsidP="000A73C2">
      <w:pPr>
        <w:spacing w:after="0" w:line="240" w:lineRule="auto"/>
        <w:ind w:left="1224"/>
        <w:jc w:val="both"/>
        <w:rPr>
          <w:rFonts w:asciiTheme="minorHAnsi" w:hAnsiTheme="minorHAnsi"/>
          <w:b/>
          <w:color w:val="000000" w:themeColor="text1"/>
          <w:sz w:val="22"/>
          <w:lang w:val="en-SG" w:eastAsia="ja-JP"/>
        </w:rPr>
      </w:pPr>
    </w:p>
    <w:p w14:paraId="34FF60D0" w14:textId="77777777" w:rsidR="00A92973" w:rsidRPr="00252071" w:rsidRDefault="00A92973" w:rsidP="000A73C2">
      <w:pPr>
        <w:numPr>
          <w:ilvl w:val="4"/>
          <w:numId w:val="23"/>
        </w:numPr>
        <w:spacing w:after="0" w:line="240" w:lineRule="auto"/>
        <w:jc w:val="both"/>
        <w:rPr>
          <w:rFonts w:asciiTheme="minorHAnsi" w:hAnsiTheme="minorHAnsi"/>
          <w:bCs/>
          <w:color w:val="000000" w:themeColor="text1"/>
          <w:sz w:val="22"/>
          <w:lang w:val="en-SG" w:eastAsia="ja-JP"/>
        </w:rPr>
      </w:pPr>
      <w:r w:rsidRPr="00252071">
        <w:rPr>
          <w:rFonts w:asciiTheme="minorHAnsi" w:hAnsiTheme="minorHAnsi"/>
          <w:bCs/>
          <w:color w:val="000000" w:themeColor="text1"/>
          <w:sz w:val="22"/>
          <w:lang w:val="en-SG" w:eastAsia="ja-JP"/>
        </w:rPr>
        <w:t>Where irreparable EGCS failure has occurred en-route in the middle of the voyage requiring spare parts, shore assistance and such, and it is impractical to deviate to procure compliant fuel, vessels are required to use the following calculation for using reserve fuel after obtaining dispensation from Flag state.</w:t>
      </w:r>
    </w:p>
    <w:p w14:paraId="4431E600" w14:textId="77777777" w:rsidR="00A92973" w:rsidRPr="00252071" w:rsidRDefault="00A92973" w:rsidP="000A73C2">
      <w:pPr>
        <w:spacing w:after="0" w:line="240" w:lineRule="auto"/>
        <w:jc w:val="both"/>
        <w:rPr>
          <w:rFonts w:asciiTheme="minorHAnsi" w:hAnsiTheme="minorHAnsi"/>
          <w:bCs/>
          <w:color w:val="000000" w:themeColor="text1"/>
          <w:sz w:val="22"/>
          <w:lang w:val="en-SG" w:eastAsia="ja-JP"/>
        </w:rPr>
      </w:pPr>
    </w:p>
    <w:p w14:paraId="4951710E" w14:textId="77777777" w:rsidR="00A92973" w:rsidRPr="00252071" w:rsidRDefault="00A92973" w:rsidP="000A73C2">
      <w:pPr>
        <w:numPr>
          <w:ilvl w:val="0"/>
          <w:numId w:val="24"/>
        </w:numPr>
        <w:tabs>
          <w:tab w:val="clear" w:pos="1008"/>
        </w:tabs>
        <w:spacing w:after="0" w:line="240" w:lineRule="auto"/>
        <w:jc w:val="both"/>
        <w:rPr>
          <w:rFonts w:asciiTheme="minorHAnsi" w:hAnsiTheme="minorHAnsi"/>
          <w:bCs/>
          <w:color w:val="000000" w:themeColor="text1"/>
          <w:sz w:val="22"/>
          <w:lang w:val="en-SG" w:eastAsia="ja-JP"/>
        </w:rPr>
      </w:pPr>
      <w:r w:rsidRPr="00252071">
        <w:rPr>
          <w:rFonts w:asciiTheme="minorHAnsi" w:hAnsiTheme="minorHAnsi"/>
          <w:bCs/>
          <w:color w:val="000000" w:themeColor="text1"/>
          <w:sz w:val="22"/>
          <w:lang w:val="en-SG" w:eastAsia="ja-JP"/>
        </w:rPr>
        <w:t xml:space="preserve"> Calculate total days of complaint fuel ROB left at full sea speed.</w:t>
      </w:r>
    </w:p>
    <w:p w14:paraId="546B04DF" w14:textId="77777777" w:rsidR="00A92973" w:rsidRPr="00252071" w:rsidRDefault="00A92973" w:rsidP="000A73C2">
      <w:pPr>
        <w:numPr>
          <w:ilvl w:val="0"/>
          <w:numId w:val="24"/>
        </w:numPr>
        <w:tabs>
          <w:tab w:val="clear" w:pos="1008"/>
        </w:tabs>
        <w:spacing w:after="0" w:line="240" w:lineRule="auto"/>
        <w:jc w:val="both"/>
        <w:rPr>
          <w:rFonts w:asciiTheme="minorHAnsi" w:hAnsiTheme="minorHAnsi"/>
          <w:bCs/>
          <w:color w:val="000000" w:themeColor="text1"/>
          <w:sz w:val="22"/>
          <w:lang w:val="en-SG" w:eastAsia="ja-JP"/>
        </w:rPr>
      </w:pPr>
      <w:r w:rsidRPr="00252071">
        <w:rPr>
          <w:rFonts w:asciiTheme="minorHAnsi" w:hAnsiTheme="minorHAnsi"/>
          <w:bCs/>
          <w:color w:val="000000" w:themeColor="text1"/>
          <w:sz w:val="22"/>
          <w:lang w:val="en-SG" w:eastAsia="ja-JP"/>
        </w:rPr>
        <w:t xml:space="preserve"> From above amount deduct fuel consumption for complying with Port entry requirements (ECA) and port consumption considering bunkering opportunity.</w:t>
      </w:r>
    </w:p>
    <w:p w14:paraId="28A6B03C" w14:textId="77777777" w:rsidR="00A92973" w:rsidRPr="00252071" w:rsidRDefault="00A92973" w:rsidP="000A73C2">
      <w:pPr>
        <w:numPr>
          <w:ilvl w:val="0"/>
          <w:numId w:val="24"/>
        </w:numPr>
        <w:tabs>
          <w:tab w:val="clear" w:pos="1008"/>
        </w:tabs>
        <w:spacing w:after="0" w:line="240" w:lineRule="auto"/>
        <w:jc w:val="both"/>
        <w:rPr>
          <w:rFonts w:asciiTheme="minorHAnsi" w:hAnsiTheme="minorHAnsi"/>
          <w:bCs/>
          <w:color w:val="000000" w:themeColor="text1"/>
          <w:sz w:val="22"/>
          <w:lang w:val="en-SG" w:eastAsia="ja-JP"/>
        </w:rPr>
      </w:pPr>
      <w:r w:rsidRPr="00252071">
        <w:rPr>
          <w:rFonts w:asciiTheme="minorHAnsi" w:hAnsiTheme="minorHAnsi"/>
          <w:bCs/>
          <w:color w:val="000000" w:themeColor="text1"/>
          <w:sz w:val="22"/>
          <w:lang w:val="en-SG" w:eastAsia="ja-JP"/>
        </w:rPr>
        <w:t xml:space="preserve"> The remaining ROB after deducting ii to be used for covering the voyage on compliant fuel.</w:t>
      </w:r>
    </w:p>
    <w:p w14:paraId="1DC3C3BE" w14:textId="77777777" w:rsidR="00A92973" w:rsidRPr="00252071" w:rsidRDefault="00A92973" w:rsidP="000A73C2">
      <w:pPr>
        <w:numPr>
          <w:ilvl w:val="0"/>
          <w:numId w:val="24"/>
        </w:numPr>
        <w:tabs>
          <w:tab w:val="clear" w:pos="1008"/>
        </w:tabs>
        <w:spacing w:after="0" w:line="240" w:lineRule="auto"/>
        <w:jc w:val="both"/>
        <w:rPr>
          <w:rFonts w:asciiTheme="minorHAnsi" w:hAnsiTheme="minorHAnsi"/>
          <w:bCs/>
          <w:color w:val="000000" w:themeColor="text1"/>
          <w:sz w:val="22"/>
          <w:lang w:val="en-SG" w:eastAsia="ja-JP"/>
        </w:rPr>
      </w:pPr>
      <w:r w:rsidRPr="00252071">
        <w:rPr>
          <w:rFonts w:asciiTheme="minorHAnsi" w:hAnsiTheme="minorHAnsi"/>
          <w:bCs/>
          <w:color w:val="000000" w:themeColor="text1"/>
          <w:sz w:val="22"/>
          <w:lang w:val="en-SG" w:eastAsia="ja-JP"/>
        </w:rPr>
        <w:t xml:space="preserve"> Changeover to compliant fuel at time/date to cover voyage and port stay on compliant fuel. </w:t>
      </w:r>
    </w:p>
    <w:p w14:paraId="7A39109C" w14:textId="77777777" w:rsidR="00A92973" w:rsidRPr="00252071" w:rsidRDefault="00A92973" w:rsidP="000A73C2">
      <w:pPr>
        <w:spacing w:after="0" w:line="240" w:lineRule="auto"/>
        <w:jc w:val="both"/>
        <w:rPr>
          <w:rFonts w:asciiTheme="minorHAnsi" w:hAnsiTheme="minorHAnsi"/>
          <w:bCs/>
          <w:color w:val="000000" w:themeColor="text1"/>
          <w:sz w:val="22"/>
          <w:lang w:val="en-SG" w:eastAsia="ja-JP"/>
        </w:rPr>
      </w:pPr>
    </w:p>
    <w:p w14:paraId="7A3F2089" w14:textId="77777777" w:rsidR="00A92973" w:rsidRPr="00252071" w:rsidRDefault="00A92973" w:rsidP="000A73C2">
      <w:pPr>
        <w:numPr>
          <w:ilvl w:val="4"/>
          <w:numId w:val="23"/>
        </w:numPr>
        <w:spacing w:after="0" w:line="240" w:lineRule="auto"/>
        <w:jc w:val="both"/>
        <w:rPr>
          <w:rFonts w:asciiTheme="minorHAnsi" w:hAnsiTheme="minorHAnsi"/>
          <w:bCs/>
          <w:color w:val="000000" w:themeColor="text1"/>
          <w:sz w:val="22"/>
          <w:lang w:val="en-SG" w:eastAsia="ja-JP"/>
        </w:rPr>
      </w:pPr>
      <w:r w:rsidRPr="00252071">
        <w:rPr>
          <w:rFonts w:asciiTheme="minorHAnsi" w:hAnsiTheme="minorHAnsi"/>
          <w:bCs/>
          <w:color w:val="000000" w:themeColor="text1"/>
          <w:sz w:val="22"/>
          <w:lang w:val="en-SG" w:eastAsia="ja-JP"/>
        </w:rPr>
        <w:t>All option to procure compliant fuel must be attempted.</w:t>
      </w:r>
    </w:p>
    <w:p w14:paraId="62D02F50" w14:textId="77777777" w:rsidR="00A92973" w:rsidRPr="00252071" w:rsidRDefault="00A92973" w:rsidP="000A73C2">
      <w:pPr>
        <w:spacing w:after="0" w:line="240" w:lineRule="auto"/>
        <w:jc w:val="both"/>
        <w:rPr>
          <w:rFonts w:asciiTheme="minorHAnsi" w:hAnsiTheme="minorHAnsi"/>
          <w:bCs/>
          <w:color w:val="000000" w:themeColor="text1"/>
          <w:sz w:val="22"/>
          <w:lang w:val="en-SG" w:eastAsia="ja-JP"/>
        </w:rPr>
      </w:pPr>
    </w:p>
    <w:p w14:paraId="67B40087" w14:textId="77777777" w:rsidR="00A92973" w:rsidRPr="00252071" w:rsidRDefault="00A92973" w:rsidP="000A73C2">
      <w:pPr>
        <w:numPr>
          <w:ilvl w:val="4"/>
          <w:numId w:val="23"/>
        </w:numPr>
        <w:spacing w:after="0" w:line="240" w:lineRule="auto"/>
        <w:jc w:val="both"/>
        <w:rPr>
          <w:rFonts w:asciiTheme="minorHAnsi" w:hAnsiTheme="minorHAnsi"/>
          <w:bCs/>
          <w:color w:val="000000" w:themeColor="text1"/>
          <w:sz w:val="22"/>
          <w:lang w:val="en-SG" w:eastAsia="ja-JP"/>
        </w:rPr>
      </w:pPr>
      <w:r w:rsidRPr="00252071">
        <w:rPr>
          <w:rFonts w:asciiTheme="minorHAnsi" w:hAnsiTheme="minorHAnsi"/>
          <w:bCs/>
          <w:color w:val="000000" w:themeColor="text1"/>
          <w:sz w:val="22"/>
          <w:lang w:val="en-SG" w:eastAsia="ja-JP"/>
        </w:rPr>
        <w:t xml:space="preserve">Vessel must obtain dispensation from Flag </w:t>
      </w:r>
    </w:p>
    <w:p w14:paraId="7F852D88" w14:textId="77777777" w:rsidR="00A92973" w:rsidRPr="00252071" w:rsidRDefault="00A92973" w:rsidP="000A73C2">
      <w:pPr>
        <w:spacing w:after="0" w:line="240" w:lineRule="auto"/>
        <w:ind w:left="720"/>
        <w:jc w:val="both"/>
        <w:rPr>
          <w:rFonts w:asciiTheme="minorHAnsi" w:hAnsiTheme="minorHAnsi"/>
          <w:bCs/>
          <w:color w:val="000000" w:themeColor="text1"/>
          <w:sz w:val="22"/>
          <w:lang w:val="en-SG" w:eastAsia="ja-JP"/>
        </w:rPr>
      </w:pPr>
    </w:p>
    <w:p w14:paraId="3330A93A" w14:textId="77777777" w:rsidR="00A92973" w:rsidRPr="00252071" w:rsidRDefault="00A92973" w:rsidP="000A73C2">
      <w:pPr>
        <w:spacing w:after="0" w:line="240" w:lineRule="auto"/>
        <w:ind w:left="720"/>
        <w:jc w:val="both"/>
        <w:rPr>
          <w:rFonts w:asciiTheme="minorHAnsi" w:hAnsiTheme="minorHAnsi"/>
          <w:b/>
          <w:bCs/>
          <w:color w:val="000000" w:themeColor="text1"/>
          <w:sz w:val="22"/>
        </w:rPr>
      </w:pPr>
      <w:r w:rsidRPr="00252071">
        <w:rPr>
          <w:rFonts w:asciiTheme="minorHAnsi" w:hAnsiTheme="minorHAnsi"/>
          <w:bCs/>
          <w:i/>
          <w:iCs/>
          <w:color w:val="000000" w:themeColor="text1"/>
          <w:sz w:val="22"/>
          <w:lang w:val="en-SG" w:eastAsia="ja-JP"/>
        </w:rPr>
        <w:t xml:space="preserve">(To be </w:t>
      </w:r>
      <w:r w:rsidRPr="00252071">
        <w:rPr>
          <w:rFonts w:asciiTheme="minorHAnsi" w:hAnsiTheme="minorHAnsi"/>
          <w:bCs/>
          <w:color w:val="000000" w:themeColor="text1"/>
          <w:sz w:val="22"/>
          <w:lang w:val="en-SG" w:eastAsia="ja-JP"/>
        </w:rPr>
        <w:t>applied</w:t>
      </w:r>
      <w:r w:rsidRPr="00252071">
        <w:rPr>
          <w:rFonts w:asciiTheme="minorHAnsi" w:hAnsiTheme="minorHAnsi"/>
          <w:bCs/>
          <w:i/>
          <w:iCs/>
          <w:color w:val="000000" w:themeColor="text1"/>
          <w:sz w:val="22"/>
          <w:lang w:val="en-SG" w:eastAsia="ja-JP"/>
        </w:rPr>
        <w:t xml:space="preserve"> with explanation, calculation basis below and detailed SOF)</w:t>
      </w:r>
      <w:r w:rsidRPr="00252071">
        <w:rPr>
          <w:rFonts w:asciiTheme="minorHAnsi" w:hAnsiTheme="minorHAnsi"/>
          <w:b/>
          <w:bCs/>
          <w:color w:val="000000" w:themeColor="text1"/>
          <w:sz w:val="22"/>
        </w:rPr>
        <w:t xml:space="preserve"> </w:t>
      </w:r>
    </w:p>
    <w:p w14:paraId="6CD8E26B" w14:textId="77777777" w:rsidR="00A92973" w:rsidRPr="00252071" w:rsidRDefault="00A92973" w:rsidP="000A73C2">
      <w:pPr>
        <w:ind w:right="-692"/>
        <w:jc w:val="both"/>
        <w:rPr>
          <w:rFonts w:asciiTheme="minorHAnsi" w:hAnsiTheme="minorHAnsi"/>
          <w:b/>
          <w:bCs/>
          <w:color w:val="000000" w:themeColor="text1"/>
          <w:sz w:val="22"/>
        </w:rPr>
      </w:pPr>
    </w:p>
    <w:p w14:paraId="57732698" w14:textId="77777777" w:rsidR="00A92973" w:rsidRPr="00252071" w:rsidRDefault="00A92973" w:rsidP="000A73C2">
      <w:pPr>
        <w:ind w:left="-270" w:right="-692"/>
        <w:jc w:val="both"/>
        <w:rPr>
          <w:rFonts w:asciiTheme="minorHAnsi" w:hAnsiTheme="minorHAnsi" w:cs="Arial"/>
          <w:color w:val="000000" w:themeColor="text1"/>
          <w:sz w:val="22"/>
          <w:lang w:val="en-US" w:eastAsia="ja-JP"/>
        </w:rPr>
      </w:pPr>
    </w:p>
    <w:p w14:paraId="779C7BA5" w14:textId="77777777" w:rsidR="00A92973" w:rsidRPr="00252071" w:rsidRDefault="00A92973" w:rsidP="000A73C2">
      <w:pPr>
        <w:ind w:left="-270" w:right="-692"/>
        <w:jc w:val="both"/>
        <w:rPr>
          <w:rFonts w:asciiTheme="minorHAnsi" w:hAnsiTheme="minorHAnsi" w:cs="Arial"/>
          <w:color w:val="000000" w:themeColor="text1"/>
          <w:sz w:val="22"/>
          <w:lang w:val="en-US" w:eastAsia="ja-JP"/>
        </w:rPr>
      </w:pPr>
    </w:p>
    <w:p w14:paraId="49404E65" w14:textId="77777777" w:rsidR="00A92973" w:rsidRPr="00252071" w:rsidRDefault="00A92973" w:rsidP="000A73C2">
      <w:pPr>
        <w:ind w:left="-270" w:right="-692"/>
        <w:jc w:val="both"/>
        <w:rPr>
          <w:rFonts w:asciiTheme="minorHAnsi" w:hAnsiTheme="minorHAnsi" w:cs="Arial"/>
          <w:color w:val="000000" w:themeColor="text1"/>
          <w:sz w:val="22"/>
          <w:lang w:val="en-US" w:eastAsia="ja-JP"/>
        </w:rPr>
      </w:pPr>
    </w:p>
    <w:p w14:paraId="430C506F" w14:textId="77777777" w:rsidR="00A92973" w:rsidRPr="00252071" w:rsidRDefault="00A92973" w:rsidP="000A73C2">
      <w:pPr>
        <w:ind w:left="-270" w:right="-692"/>
        <w:jc w:val="both"/>
        <w:rPr>
          <w:rFonts w:asciiTheme="minorHAnsi" w:hAnsiTheme="minorHAnsi" w:cs="Arial"/>
          <w:color w:val="000000" w:themeColor="text1"/>
          <w:sz w:val="22"/>
          <w:lang w:val="en-US" w:eastAsia="ja-JP"/>
        </w:rPr>
      </w:pPr>
    </w:p>
    <w:p w14:paraId="4A7680B3" w14:textId="77777777" w:rsidR="00A92973" w:rsidRPr="00252071" w:rsidRDefault="00A92973" w:rsidP="000A73C2">
      <w:pPr>
        <w:ind w:left="-270" w:right="-692"/>
        <w:jc w:val="both"/>
        <w:rPr>
          <w:rFonts w:asciiTheme="minorHAnsi" w:hAnsiTheme="minorHAnsi" w:cs="Arial"/>
          <w:color w:val="000000" w:themeColor="text1"/>
          <w:sz w:val="22"/>
          <w:lang w:val="en-US" w:eastAsia="ja-JP"/>
        </w:rPr>
      </w:pPr>
    </w:p>
    <w:p w14:paraId="3F342CB8" w14:textId="77777777" w:rsidR="00A92973" w:rsidRPr="00252071" w:rsidRDefault="00A92973" w:rsidP="000A73C2">
      <w:pPr>
        <w:ind w:left="-270" w:right="-692"/>
        <w:jc w:val="both"/>
        <w:rPr>
          <w:rFonts w:asciiTheme="minorHAnsi" w:hAnsiTheme="minorHAnsi" w:cs="Arial"/>
          <w:color w:val="000000" w:themeColor="text1"/>
          <w:sz w:val="22"/>
          <w:lang w:val="en-US" w:eastAsia="ja-JP"/>
        </w:rPr>
      </w:pPr>
      <w:r w:rsidRPr="00252071">
        <w:rPr>
          <w:noProof/>
          <w:color w:val="000000" w:themeColor="text1"/>
        </w:rPr>
        <w:drawing>
          <wp:inline distT="0" distB="0" distL="0" distR="0" wp14:anchorId="62219A0F" wp14:editId="3E201016">
            <wp:extent cx="5943600" cy="4476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7">
                      <a:extLst>
                        <a:ext uri="{28A0092B-C50C-407E-A947-70E740481C1C}">
                          <a14:useLocalDpi xmlns:a14="http://schemas.microsoft.com/office/drawing/2010/main" val="0"/>
                        </a:ext>
                      </a:extLst>
                    </a:blip>
                    <a:stretch>
                      <a:fillRect/>
                    </a:stretch>
                  </pic:blipFill>
                  <pic:spPr>
                    <a:xfrm>
                      <a:off x="0" y="0"/>
                      <a:ext cx="5943600" cy="4476750"/>
                    </a:xfrm>
                    <a:prstGeom prst="rect">
                      <a:avLst/>
                    </a:prstGeom>
                  </pic:spPr>
                </pic:pic>
              </a:graphicData>
            </a:graphic>
          </wp:inline>
        </w:drawing>
      </w:r>
      <w:r w:rsidRPr="00252071">
        <w:rPr>
          <w:rFonts w:asciiTheme="minorHAnsi" w:hAnsiTheme="minorHAnsi" w:cs="Arial"/>
          <w:color w:val="000000" w:themeColor="text1"/>
          <w:sz w:val="22"/>
          <w:lang w:val="en-US" w:eastAsia="ja-JP"/>
        </w:rPr>
        <w:br w:type="page"/>
      </w:r>
    </w:p>
    <w:p w14:paraId="4FA45294" w14:textId="77777777" w:rsidR="00A92973" w:rsidRPr="00252071" w:rsidRDefault="00A92973" w:rsidP="000A73C2">
      <w:pPr>
        <w:ind w:right="-692"/>
        <w:jc w:val="both"/>
        <w:rPr>
          <w:rFonts w:asciiTheme="minorHAnsi" w:hAnsiTheme="minorHAnsi" w:cs="Arial"/>
          <w:color w:val="000000" w:themeColor="text1"/>
          <w:sz w:val="22"/>
          <w:lang w:val="en-US" w:eastAsia="ja-JP"/>
        </w:rPr>
      </w:pPr>
      <w:r w:rsidRPr="00252071">
        <w:rPr>
          <w:rFonts w:asciiTheme="minorHAnsi" w:hAnsiTheme="minorHAnsi" w:cs="Arial"/>
          <w:noProof/>
          <w:color w:val="000000" w:themeColor="text1"/>
          <w:sz w:val="22"/>
          <w:lang w:val="en-US" w:eastAsia="ja-JP"/>
        </w:rPr>
        <w:drawing>
          <wp:inline distT="0" distB="0" distL="0" distR="0" wp14:anchorId="6F15DF46" wp14:editId="352384FB">
            <wp:extent cx="5667375" cy="7610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7610475"/>
                    </a:xfrm>
                    <a:prstGeom prst="rect">
                      <a:avLst/>
                    </a:prstGeom>
                    <a:noFill/>
                    <a:ln>
                      <a:noFill/>
                    </a:ln>
                  </pic:spPr>
                </pic:pic>
              </a:graphicData>
            </a:graphic>
          </wp:inline>
        </w:drawing>
      </w:r>
    </w:p>
    <w:p w14:paraId="6E00D965" w14:textId="77777777" w:rsidR="00A92973" w:rsidRPr="00252071" w:rsidRDefault="00A92973" w:rsidP="000A73C2">
      <w:pPr>
        <w:ind w:right="-692"/>
        <w:jc w:val="both"/>
        <w:rPr>
          <w:rFonts w:asciiTheme="minorHAnsi" w:hAnsiTheme="minorHAnsi"/>
          <w:b/>
          <w:color w:val="000000" w:themeColor="text1"/>
          <w:sz w:val="22"/>
          <w:lang w:val="en-SG" w:eastAsia="ja-JP"/>
        </w:rPr>
      </w:pPr>
    </w:p>
    <w:p w14:paraId="31A0EB88" w14:textId="77777777" w:rsidR="00A92973" w:rsidRPr="00252071" w:rsidRDefault="00A92973" w:rsidP="000A73C2">
      <w:pPr>
        <w:ind w:right="-692"/>
        <w:jc w:val="both"/>
        <w:rPr>
          <w:rFonts w:asciiTheme="minorHAnsi" w:hAnsiTheme="minorHAnsi"/>
          <w:b/>
          <w:color w:val="000000" w:themeColor="text1"/>
          <w:sz w:val="22"/>
          <w:lang w:val="en-SG" w:eastAsia="ja-JP"/>
        </w:rPr>
      </w:pPr>
    </w:p>
    <w:p w14:paraId="0578935B" w14:textId="77777777" w:rsidR="00A92973" w:rsidRPr="00252071" w:rsidRDefault="00A92973" w:rsidP="000A73C2">
      <w:pPr>
        <w:ind w:right="-692"/>
        <w:jc w:val="both"/>
        <w:rPr>
          <w:rFonts w:asciiTheme="minorHAnsi" w:hAnsiTheme="minorHAnsi"/>
          <w:b/>
          <w:color w:val="000000" w:themeColor="text1"/>
          <w:sz w:val="22"/>
          <w:lang w:val="en-SG" w:eastAsia="ja-JP"/>
        </w:rPr>
      </w:pPr>
    </w:p>
    <w:p w14:paraId="7DB9C074" w14:textId="77777777" w:rsidR="00A92973" w:rsidRPr="00252071" w:rsidRDefault="00A92973" w:rsidP="000A73C2">
      <w:pPr>
        <w:ind w:right="-692"/>
        <w:jc w:val="both"/>
        <w:rPr>
          <w:rFonts w:asciiTheme="minorHAnsi" w:hAnsiTheme="minorHAnsi"/>
          <w:b/>
          <w:color w:val="000000" w:themeColor="text1"/>
          <w:sz w:val="22"/>
          <w:lang w:val="en-SG" w:eastAsia="ja-JP"/>
        </w:rPr>
      </w:pPr>
    </w:p>
    <w:p w14:paraId="5A191D65" w14:textId="77777777" w:rsidR="00A92973" w:rsidRPr="00252071" w:rsidRDefault="00A92973" w:rsidP="000A73C2">
      <w:pPr>
        <w:pStyle w:val="Heading1"/>
        <w:keepLines w:val="0"/>
        <w:numPr>
          <w:ilvl w:val="1"/>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color w:val="000000" w:themeColor="text1"/>
          <w:sz w:val="28"/>
          <w:szCs w:val="40"/>
          <w:u w:val="single"/>
          <w:lang w:val="en-SG" w:eastAsia="ja-JP"/>
        </w:rPr>
      </w:pPr>
      <w:r w:rsidRPr="00252071">
        <w:rPr>
          <w:rFonts w:asciiTheme="minorHAnsi" w:hAnsiTheme="minorHAnsi"/>
          <w:color w:val="000000" w:themeColor="text1"/>
          <w:sz w:val="28"/>
          <w:szCs w:val="40"/>
          <w:u w:val="single"/>
          <w:lang w:val="en-SG" w:eastAsia="ja-JP"/>
        </w:rPr>
        <w:t xml:space="preserve">NAOH SAFETY GUIDANCE </w:t>
      </w:r>
    </w:p>
    <w:p w14:paraId="1089A441" w14:textId="77777777" w:rsidR="00A92973" w:rsidRPr="00252071" w:rsidRDefault="00A92973" w:rsidP="000A73C2">
      <w:pPr>
        <w:pStyle w:val="Default"/>
        <w:ind w:left="-270" w:right="-692"/>
        <w:jc w:val="both"/>
        <w:rPr>
          <w:rFonts w:asciiTheme="minorHAnsi" w:hAnsiTheme="minorHAnsi"/>
          <w:b/>
          <w:color w:val="000000" w:themeColor="text1"/>
          <w:sz w:val="22"/>
          <w:lang w:val="en-SG"/>
        </w:rPr>
      </w:pPr>
    </w:p>
    <w:p w14:paraId="0B6F0F0F"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olor w:val="000000" w:themeColor="text1"/>
          <w:szCs w:val="36"/>
          <w:lang w:val="en-SG" w:eastAsia="ja-JP"/>
        </w:rPr>
      </w:pPr>
      <w:r w:rsidRPr="00252071">
        <w:rPr>
          <w:rFonts w:asciiTheme="minorHAnsi" w:hAnsiTheme="minorHAnsi"/>
          <w:color w:val="000000" w:themeColor="text1"/>
          <w:szCs w:val="36"/>
          <w:lang w:val="en-SG" w:eastAsia="ja-JP"/>
        </w:rPr>
        <w:t>Description</w:t>
      </w:r>
    </w:p>
    <w:p w14:paraId="3EA163D4" w14:textId="77777777" w:rsidR="00A92973" w:rsidRPr="00252071" w:rsidRDefault="00A92973" w:rsidP="000A73C2">
      <w:pPr>
        <w:pStyle w:val="Default"/>
        <w:ind w:left="-270" w:right="-692"/>
        <w:jc w:val="both"/>
        <w:rPr>
          <w:rFonts w:asciiTheme="minorHAnsi" w:hAnsiTheme="minorHAnsi"/>
          <w:color w:val="000000" w:themeColor="text1"/>
          <w:sz w:val="22"/>
          <w:lang w:val="en-SG"/>
        </w:rPr>
      </w:pPr>
    </w:p>
    <w:p w14:paraId="507F8A64" w14:textId="77777777" w:rsidR="00A92973" w:rsidRPr="00252071" w:rsidRDefault="00A92973" w:rsidP="000A73C2">
      <w:pPr>
        <w:numPr>
          <w:ilvl w:val="4"/>
          <w:numId w:val="25"/>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Sodium Hydroxide (NAOH) is a highly a highly corrosive alkaline inorganic compound which is also known as Caustic soda or Iye.</w:t>
      </w:r>
    </w:p>
    <w:p w14:paraId="47ECF804"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68F39B8D" w14:textId="77777777" w:rsidR="00A92973" w:rsidRPr="00252071" w:rsidRDefault="00A92973" w:rsidP="000A73C2">
      <w:pPr>
        <w:numPr>
          <w:ilvl w:val="4"/>
          <w:numId w:val="25"/>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noProof/>
          <w:color w:val="000000" w:themeColor="text1"/>
          <w:sz w:val="22"/>
        </w:rPr>
        <w:drawing>
          <wp:anchor distT="0" distB="0" distL="114300" distR="114300" simplePos="0" relativeHeight="251659264" behindDoc="1" locked="0" layoutInCell="1" allowOverlap="1" wp14:anchorId="2EB15119" wp14:editId="63810399">
            <wp:simplePos x="0" y="0"/>
            <wp:positionH relativeFrom="column">
              <wp:posOffset>4547235</wp:posOffset>
            </wp:positionH>
            <wp:positionV relativeFrom="paragraph">
              <wp:posOffset>167005</wp:posOffset>
            </wp:positionV>
            <wp:extent cx="1336040" cy="1980565"/>
            <wp:effectExtent l="0" t="0" r="0" b="635"/>
            <wp:wrapTight wrapText="bothSides">
              <wp:wrapPolygon edited="0">
                <wp:start x="0" y="0"/>
                <wp:lineTo x="0" y="21399"/>
                <wp:lineTo x="21251" y="21399"/>
                <wp:lineTo x="2125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6040"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2071">
        <w:rPr>
          <w:rFonts w:asciiTheme="minorHAnsi" w:hAnsiTheme="minorHAnsi"/>
          <w:color w:val="000000" w:themeColor="text1"/>
          <w:sz w:val="22"/>
          <w:lang w:val="en-SG" w:eastAsia="ja-JP"/>
        </w:rPr>
        <w:t>Properties</w:t>
      </w:r>
    </w:p>
    <w:p w14:paraId="64A351DA" w14:textId="77777777" w:rsidR="00A92973" w:rsidRPr="00252071" w:rsidRDefault="00A92973" w:rsidP="000A73C2">
      <w:pPr>
        <w:pStyle w:val="Default"/>
        <w:ind w:left="-270" w:right="-692"/>
        <w:jc w:val="both"/>
        <w:rPr>
          <w:rFonts w:asciiTheme="minorHAnsi" w:hAnsiTheme="minorHAnsi"/>
          <w:color w:val="000000" w:themeColor="text1"/>
          <w:sz w:val="22"/>
          <w:lang w:val="en-SG"/>
        </w:rPr>
      </w:pPr>
    </w:p>
    <w:p w14:paraId="68880C08"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Physical properties: It is an odourless, white crystalline solid with a density of 2.13 g/mL, and melting point of 318 °C. It is widely available as pellets, flakes, granules, and as aqueous solutions of different concentrations.</w:t>
      </w:r>
    </w:p>
    <w:p w14:paraId="46428811"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016AC301" w14:textId="77777777" w:rsidR="00A92973" w:rsidRPr="00252071" w:rsidRDefault="00A92973" w:rsidP="000A73C2">
      <w:pPr>
        <w:numPr>
          <w:ilvl w:val="4"/>
          <w:numId w:val="25"/>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Chemical properties: </w:t>
      </w:r>
    </w:p>
    <w:p w14:paraId="77C7B422" w14:textId="77777777" w:rsidR="00A92973" w:rsidRPr="00252071" w:rsidRDefault="00A92973" w:rsidP="000A73C2">
      <w:pPr>
        <w:pStyle w:val="Default"/>
        <w:ind w:left="-270" w:right="-692"/>
        <w:jc w:val="both"/>
        <w:rPr>
          <w:rFonts w:asciiTheme="minorHAnsi" w:hAnsiTheme="minorHAnsi"/>
          <w:color w:val="000000" w:themeColor="text1"/>
          <w:sz w:val="22"/>
          <w:lang w:val="en-SG"/>
        </w:rPr>
      </w:pPr>
    </w:p>
    <w:p w14:paraId="43567417"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Sodium hydroxide is soluble in water, alcohol, acids, and insoluble in organic solvents. </w:t>
      </w:r>
    </w:p>
    <w:p w14:paraId="66B05F69" w14:textId="77777777" w:rsidR="00A92973" w:rsidRPr="00252071" w:rsidRDefault="00A92973" w:rsidP="000A73C2">
      <w:pPr>
        <w:spacing w:after="0" w:line="240" w:lineRule="auto"/>
        <w:jc w:val="both"/>
        <w:rPr>
          <w:rFonts w:asciiTheme="minorHAnsi" w:hAnsiTheme="minorHAnsi"/>
          <w:color w:val="000000" w:themeColor="text1"/>
          <w:sz w:val="22"/>
          <w:lang w:val="en-SG" w:eastAsia="ja-JP"/>
        </w:rPr>
      </w:pPr>
    </w:p>
    <w:p w14:paraId="17491CCF"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It is very Hygroscopic in nature and Solid NaOH when dissolved in water results in a highly exothermic reaction and the aqueous NaOH solution is a colourless and odourless.</w:t>
      </w:r>
    </w:p>
    <w:p w14:paraId="6AE2E69F"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1DB64F29"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color w:val="000000" w:themeColor="text1"/>
          <w:szCs w:val="36"/>
          <w:lang w:val="en-SG" w:eastAsia="ja-JP"/>
        </w:rPr>
      </w:pPr>
      <w:r w:rsidRPr="00252071">
        <w:rPr>
          <w:rFonts w:asciiTheme="minorHAnsi" w:hAnsiTheme="minorHAnsi"/>
          <w:color w:val="000000" w:themeColor="text1"/>
          <w:szCs w:val="36"/>
          <w:lang w:val="en-SG" w:eastAsia="ja-JP"/>
        </w:rPr>
        <w:t xml:space="preserve">Health effects/safety hazards </w:t>
      </w:r>
    </w:p>
    <w:p w14:paraId="760792DC"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1B9A0041" w14:textId="77777777" w:rsidR="00A92973" w:rsidRPr="00252071" w:rsidRDefault="00A92973" w:rsidP="000A73C2">
      <w:pPr>
        <w:numPr>
          <w:ilvl w:val="4"/>
          <w:numId w:val="26"/>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It is a strong and highly corrosive alkali, which readily decomposes living tissues. Skin contact of NaOH solutions can result in severe chemical burns, and eye contact can cause permanent blindness. Solid NaOH reacts with water and acids in a very exothermic reaction and can cause burns through splashing. </w:t>
      </w:r>
    </w:p>
    <w:p w14:paraId="7E087AAD"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 </w:t>
      </w:r>
    </w:p>
    <w:p w14:paraId="2657407A" w14:textId="77777777" w:rsidR="00A92973" w:rsidRPr="00252071" w:rsidRDefault="00A92973" w:rsidP="000A73C2">
      <w:pPr>
        <w:numPr>
          <w:ilvl w:val="0"/>
          <w:numId w:val="27"/>
        </w:numPr>
        <w:tabs>
          <w:tab w:val="clear" w:pos="1008"/>
        </w:tabs>
        <w:spacing w:after="0" w:line="240" w:lineRule="auto"/>
        <w:ind w:left="1224" w:hanging="432"/>
        <w:jc w:val="both"/>
        <w:rPr>
          <w:rFonts w:asciiTheme="minorHAnsi" w:hAnsiTheme="minorHAnsi"/>
          <w:color w:val="000000" w:themeColor="text1"/>
          <w:sz w:val="22"/>
          <w:lang w:val="en-SG" w:eastAsia="ja-JP"/>
        </w:rPr>
      </w:pPr>
      <w:r w:rsidRPr="00252071">
        <w:rPr>
          <w:rFonts w:asciiTheme="minorHAnsi" w:hAnsiTheme="minorHAnsi"/>
          <w:bCs/>
          <w:color w:val="000000" w:themeColor="text1"/>
          <w:sz w:val="22"/>
          <w:lang w:val="en-SG" w:eastAsia="ja-JP"/>
        </w:rPr>
        <w:t>Inhalation</w:t>
      </w:r>
      <w:r w:rsidRPr="00252071">
        <w:rPr>
          <w:rFonts w:asciiTheme="minorHAnsi" w:hAnsiTheme="minorHAnsi"/>
          <w:color w:val="000000" w:themeColor="text1"/>
          <w:sz w:val="22"/>
          <w:lang w:val="en-SG" w:eastAsia="ja-JP"/>
        </w:rPr>
        <w:t xml:space="preserve"> Hazard -NAOH as airborne dust or mist can cause severe irritation of the nose and throat. </w:t>
      </w:r>
    </w:p>
    <w:p w14:paraId="7C514515" w14:textId="77777777" w:rsidR="00A92973" w:rsidRPr="00252071" w:rsidRDefault="00A92973" w:rsidP="000A73C2">
      <w:pPr>
        <w:numPr>
          <w:ilvl w:val="0"/>
          <w:numId w:val="27"/>
        </w:numPr>
        <w:tabs>
          <w:tab w:val="clear" w:pos="1008"/>
        </w:tabs>
        <w:spacing w:after="0" w:line="240" w:lineRule="auto"/>
        <w:ind w:left="1224" w:hanging="432"/>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Skin </w:t>
      </w:r>
      <w:r w:rsidRPr="00252071">
        <w:rPr>
          <w:rFonts w:asciiTheme="minorHAnsi" w:hAnsiTheme="minorHAnsi"/>
          <w:bCs/>
          <w:color w:val="000000" w:themeColor="text1"/>
          <w:sz w:val="22"/>
          <w:lang w:val="en-SG" w:eastAsia="ja-JP"/>
        </w:rPr>
        <w:t>Contact</w:t>
      </w:r>
      <w:r w:rsidRPr="00252071">
        <w:rPr>
          <w:rFonts w:asciiTheme="minorHAnsi" w:hAnsiTheme="minorHAnsi"/>
          <w:color w:val="000000" w:themeColor="text1"/>
          <w:sz w:val="22"/>
          <w:lang w:val="en-SG" w:eastAsia="ja-JP"/>
        </w:rPr>
        <w:t xml:space="preserve"> - NAOH being Corrosive, contact with skin can cause pain, redness, burns, blistering and Permanent scarring. Severe exposure can be fatal, Burns may not be immediately painful; onset of pain may be delayed minutes to hours.</w:t>
      </w:r>
    </w:p>
    <w:p w14:paraId="54D442BE"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6E1166A3" w14:textId="77777777" w:rsidR="00A92973" w:rsidRPr="00252071" w:rsidRDefault="00A92973" w:rsidP="000A73C2">
      <w:pPr>
        <w:numPr>
          <w:ilvl w:val="4"/>
          <w:numId w:val="26"/>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First Aid Measures for NaOH - First action to do in case of an accident with NaOH is to protect yourself with suitable chemical protective clothing, gloves and safety face shield etc. before you assist the victim of NaOH.</w:t>
      </w:r>
    </w:p>
    <w:p w14:paraId="2C9B5F78"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5FAA59EE" w14:textId="77777777" w:rsidR="00A92973" w:rsidRPr="00252071" w:rsidRDefault="00A92973" w:rsidP="000A73C2">
      <w:pPr>
        <w:numPr>
          <w:ilvl w:val="4"/>
          <w:numId w:val="26"/>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Inhalation - Move the victim to fresh air. Call a poison centre or doctor if the victim feels unwell. </w:t>
      </w:r>
    </w:p>
    <w:p w14:paraId="2548E969"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 </w:t>
      </w:r>
    </w:p>
    <w:p w14:paraId="792F34D6" w14:textId="77777777" w:rsidR="00A92973" w:rsidRPr="00252071" w:rsidRDefault="00A92973" w:rsidP="000A73C2">
      <w:pPr>
        <w:numPr>
          <w:ilvl w:val="4"/>
          <w:numId w:val="26"/>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Skin Contact - Avoid direct contact. Wear chemical protective clothing if necessary. In case a person has been contaminated with NaOH take the person to the emergency shower and let him remove all contaminated clothing during the shower and gently blot or brush away excess chemical. Immediately flush with lukewarm, gently flowing water for at least 60 minutes. Do not interrupt flushing. If it can be done safely, continue flushing during transport to hospital (ship’s hospital). Treatment is urgently required in such case; victim should be immediately shifted to a hospital.</w:t>
      </w:r>
    </w:p>
    <w:p w14:paraId="230AF1D3"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75EBFDB2" w14:textId="77777777" w:rsidR="00A92973" w:rsidRPr="00252071" w:rsidRDefault="00A92973" w:rsidP="000A73C2">
      <w:pPr>
        <w:numPr>
          <w:ilvl w:val="4"/>
          <w:numId w:val="26"/>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Eye Contact - Avoid direct contact. Wear chemical protective gloves if necessary. In case a person has been contaminated with NaOH take the person to the emergency eye wash station. Immediately flush the contaminated eye(s) with lukewarm, gently flowing water for at least 60 minutes, while holding the eyelid(s) open. If a contact lens is present, do not delay flushing or attempt to remove the lens. Take care not to rinse contaminated water into the unaffected eye or onto the face. Treatment is urgently required in such case; victim should be immediately shifted to a hospital. </w:t>
      </w:r>
    </w:p>
    <w:p w14:paraId="797091E4"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 </w:t>
      </w:r>
    </w:p>
    <w:p w14:paraId="6E99DE52" w14:textId="77777777" w:rsidR="00A92973" w:rsidRPr="00252071" w:rsidRDefault="00A92973" w:rsidP="000A73C2">
      <w:pPr>
        <w:numPr>
          <w:ilvl w:val="4"/>
          <w:numId w:val="26"/>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Ingestion - Have the victim rinse mouth with water. If vomiting occurs naturally, have the victim lean forward to reduce risk of aspiration; have the victim rinse mouth with water again. Treatment is urgently required in such case; victim should be immediately shifted to a hospital.</w:t>
      </w:r>
    </w:p>
    <w:p w14:paraId="1FF2F1CB"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4632B1EB"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b w:val="0"/>
          <w:color w:val="000000" w:themeColor="text1"/>
          <w:szCs w:val="36"/>
          <w:lang w:val="en-SG" w:eastAsia="ja-JP"/>
        </w:rPr>
      </w:pPr>
      <w:r w:rsidRPr="00252071">
        <w:rPr>
          <w:rFonts w:asciiTheme="minorHAnsi" w:hAnsiTheme="minorHAnsi"/>
          <w:color w:val="000000" w:themeColor="text1"/>
          <w:szCs w:val="36"/>
          <w:lang w:val="en-SG" w:eastAsia="ja-JP"/>
        </w:rPr>
        <w:t xml:space="preserve">Handling and Storage Practices when Working with NaOH </w:t>
      </w:r>
    </w:p>
    <w:p w14:paraId="21E04E8D"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35324A52" w14:textId="77777777" w:rsidR="00A92973" w:rsidRPr="00252071" w:rsidRDefault="00A92973" w:rsidP="000A73C2">
      <w:pPr>
        <w:numPr>
          <w:ilvl w:val="4"/>
          <w:numId w:val="28"/>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Sodium Hydroxide must be labelled with the technical/proper shipping name, manufacturer's or supplier’s name and address, hazard classification (8 corrosive material), step by step procedures for proper use, first aid instructions and the stowage and segregation guidelines.</w:t>
      </w:r>
    </w:p>
    <w:p w14:paraId="6559F01F"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 </w:t>
      </w:r>
    </w:p>
    <w:p w14:paraId="465DC847" w14:textId="77777777" w:rsidR="00A92973" w:rsidRPr="00252071" w:rsidRDefault="00A92973" w:rsidP="000A73C2">
      <w:pPr>
        <w:numPr>
          <w:ilvl w:val="4"/>
          <w:numId w:val="28"/>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The holding tanks must be appropriately and thoroughly labelled. </w:t>
      </w:r>
    </w:p>
    <w:p w14:paraId="16D91EAB"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227A358E" w14:textId="77777777" w:rsidR="00A92973" w:rsidRPr="00252071" w:rsidRDefault="00A92973" w:rsidP="000A73C2">
      <w:pPr>
        <w:numPr>
          <w:ilvl w:val="4"/>
          <w:numId w:val="28"/>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Before handling the NaOH, it is important that protective equipment requirements and personal hygiene measures are being followed:</w:t>
      </w:r>
    </w:p>
    <w:p w14:paraId="45653B3D"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579E64E8"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bCs/>
          <w:color w:val="000000" w:themeColor="text1"/>
          <w:sz w:val="22"/>
          <w:lang w:val="en-SG" w:eastAsia="ja-JP"/>
        </w:rPr>
        <w:t>Only</w:t>
      </w:r>
      <w:r w:rsidRPr="00252071">
        <w:rPr>
          <w:rFonts w:asciiTheme="minorHAnsi" w:hAnsiTheme="minorHAnsi"/>
          <w:color w:val="000000" w:themeColor="text1"/>
          <w:sz w:val="22"/>
          <w:lang w:val="en-SG" w:eastAsia="ja-JP"/>
        </w:rPr>
        <w:t xml:space="preserve"> trained personnel should work with this NaOH and the EGR systems.</w:t>
      </w:r>
    </w:p>
    <w:p w14:paraId="7291F8A3"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bCs/>
          <w:color w:val="000000" w:themeColor="text1"/>
          <w:sz w:val="22"/>
          <w:lang w:val="en-SG" w:eastAsia="ja-JP"/>
        </w:rPr>
        <w:t>Immediately</w:t>
      </w:r>
      <w:r w:rsidRPr="00252071">
        <w:rPr>
          <w:rFonts w:asciiTheme="minorHAnsi" w:hAnsiTheme="minorHAnsi"/>
          <w:color w:val="000000" w:themeColor="text1"/>
          <w:sz w:val="22"/>
          <w:lang w:val="en-SG" w:eastAsia="ja-JP"/>
        </w:rPr>
        <w:t xml:space="preserve"> report leaks, spills or failures of the safety equipment (e.g. ventilation system).</w:t>
      </w:r>
    </w:p>
    <w:p w14:paraId="64FC75AE"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Avoid </w:t>
      </w:r>
      <w:r w:rsidRPr="00252071">
        <w:rPr>
          <w:rFonts w:asciiTheme="minorHAnsi" w:hAnsiTheme="minorHAnsi"/>
          <w:bCs/>
          <w:color w:val="000000" w:themeColor="text1"/>
          <w:sz w:val="22"/>
          <w:lang w:val="en-SG" w:eastAsia="ja-JP"/>
        </w:rPr>
        <w:t>generating</w:t>
      </w:r>
      <w:r w:rsidRPr="00252071">
        <w:rPr>
          <w:rFonts w:asciiTheme="minorHAnsi" w:hAnsiTheme="minorHAnsi"/>
          <w:color w:val="000000" w:themeColor="text1"/>
          <w:sz w:val="22"/>
          <w:lang w:val="en-SG" w:eastAsia="ja-JP"/>
        </w:rPr>
        <w:t xml:space="preserve"> NaOH vapours or mists.</w:t>
      </w:r>
    </w:p>
    <w:p w14:paraId="443B86C7"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bCs/>
          <w:color w:val="000000" w:themeColor="text1"/>
          <w:sz w:val="22"/>
          <w:lang w:val="en-SG" w:eastAsia="ja-JP"/>
        </w:rPr>
        <w:t>Avoid</w:t>
      </w:r>
      <w:r w:rsidRPr="00252071">
        <w:rPr>
          <w:rFonts w:asciiTheme="minorHAnsi" w:hAnsiTheme="minorHAnsi"/>
          <w:color w:val="000000" w:themeColor="text1"/>
          <w:sz w:val="22"/>
          <w:lang w:val="en-SG" w:eastAsia="ja-JP"/>
        </w:rPr>
        <w:t xml:space="preserve"> generating NaOH dusts. </w:t>
      </w:r>
    </w:p>
    <w:p w14:paraId="3AAE4FB8"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Use corrosion-resistant tools and equipment. </w:t>
      </w:r>
    </w:p>
    <w:p w14:paraId="4C350E00"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Never add water to a corrosive. </w:t>
      </w:r>
    </w:p>
    <w:p w14:paraId="2A66ECC5"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Always add corrosives slowly to cold water. </w:t>
      </w:r>
    </w:p>
    <w:p w14:paraId="49960214"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Never reuse empty containers, even if they appear to be clean. </w:t>
      </w:r>
    </w:p>
    <w:p w14:paraId="1ADAA22B" w14:textId="77777777" w:rsidR="00A92973" w:rsidRPr="00252071" w:rsidRDefault="00A92973" w:rsidP="000A73C2">
      <w:pPr>
        <w:numPr>
          <w:ilvl w:val="0"/>
          <w:numId w:val="29"/>
        </w:numPr>
        <w:tabs>
          <w:tab w:val="clear" w:pos="1008"/>
        </w:tabs>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Keep containers tightly closed when not in use or empty. </w:t>
      </w:r>
    </w:p>
    <w:p w14:paraId="508C0A7C"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277B2019"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olor w:val="000000" w:themeColor="text1"/>
          <w:szCs w:val="36"/>
          <w:lang w:val="en-SG" w:eastAsia="ja-JP"/>
        </w:rPr>
      </w:pPr>
      <w:r w:rsidRPr="00252071">
        <w:rPr>
          <w:rFonts w:asciiTheme="minorHAnsi" w:hAnsiTheme="minorHAnsi"/>
          <w:color w:val="000000" w:themeColor="text1"/>
          <w:szCs w:val="36"/>
          <w:lang w:val="en-SG" w:eastAsia="ja-JP"/>
        </w:rPr>
        <w:t xml:space="preserve">Occupational Exposure Summary </w:t>
      </w:r>
    </w:p>
    <w:p w14:paraId="398B2BE2" w14:textId="77777777" w:rsidR="00A92973" w:rsidRPr="00252071" w:rsidRDefault="00A92973" w:rsidP="000A73C2">
      <w:pPr>
        <w:pStyle w:val="Default"/>
        <w:ind w:left="-270" w:right="-692"/>
        <w:jc w:val="both"/>
        <w:rPr>
          <w:rFonts w:asciiTheme="minorHAnsi" w:hAnsiTheme="minorHAnsi"/>
          <w:color w:val="000000" w:themeColor="text1"/>
          <w:sz w:val="22"/>
          <w:lang w:val="en-SG"/>
        </w:rPr>
      </w:pPr>
    </w:p>
    <w:p w14:paraId="2B1F5DE9" w14:textId="77777777" w:rsidR="00A92973" w:rsidRPr="00252071" w:rsidRDefault="00A92973" w:rsidP="000A73C2">
      <w:pPr>
        <w:numPr>
          <w:ilvl w:val="4"/>
          <w:numId w:val="30"/>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The Occupational Safety &amp; Health Administration (OSHA) 8-hour Time Weighted Average (TWA) Permissible Exposure Limit (PEL) for sodium hydroxide is 2 mg/m3. </w:t>
      </w:r>
    </w:p>
    <w:p w14:paraId="6D628131"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Immediately dangerous to life and health: 10 ppm </w:t>
      </w:r>
    </w:p>
    <w:p w14:paraId="770334ED"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51125950" w14:textId="77777777" w:rsidR="00A92973" w:rsidRPr="00252071" w:rsidRDefault="00A92973" w:rsidP="000A73C2">
      <w:pPr>
        <w:pStyle w:val="Heading1"/>
        <w:keepLines w:val="0"/>
        <w:numPr>
          <w:ilvl w:val="2"/>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N w:val="0"/>
        <w:spacing w:before="0" w:line="240" w:lineRule="auto"/>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Recommended PPE</w:t>
      </w:r>
    </w:p>
    <w:p w14:paraId="47F93D96" w14:textId="77777777" w:rsidR="00A92973" w:rsidRPr="00252071" w:rsidRDefault="00A92973" w:rsidP="000A73C2">
      <w:pPr>
        <w:spacing w:after="0" w:line="240" w:lineRule="auto"/>
        <w:ind w:left="720"/>
        <w:jc w:val="both"/>
        <w:rPr>
          <w:rFonts w:asciiTheme="minorHAnsi" w:hAnsiTheme="minorHAnsi"/>
          <w:b/>
          <w:color w:val="000000" w:themeColor="text1"/>
          <w:sz w:val="22"/>
          <w:lang w:val="en-SG" w:eastAsia="ja-JP"/>
        </w:rPr>
      </w:pPr>
    </w:p>
    <w:p w14:paraId="3FBC7012" w14:textId="77777777" w:rsidR="00A92973" w:rsidRPr="00252071" w:rsidRDefault="00A92973" w:rsidP="000A73C2">
      <w:pPr>
        <w:numPr>
          <w:ilvl w:val="4"/>
          <w:numId w:val="31"/>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b/>
          <w:color w:val="000000" w:themeColor="text1"/>
          <w:sz w:val="22"/>
          <w:lang w:val="en-SG" w:eastAsia="ja-JP"/>
        </w:rPr>
        <w:t>Eye/Face Protection</w:t>
      </w:r>
      <w:r w:rsidRPr="00252071">
        <w:rPr>
          <w:rFonts w:asciiTheme="minorHAnsi" w:hAnsiTheme="minorHAnsi"/>
          <w:color w:val="000000" w:themeColor="text1"/>
          <w:sz w:val="22"/>
          <w:lang w:val="en-SG" w:eastAsia="ja-JP"/>
        </w:rPr>
        <w:t>: Wear chemical safety goggles. Ideally A face shield with safety goggle should be worn.</w:t>
      </w:r>
    </w:p>
    <w:p w14:paraId="3B242E71"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76167EF6" w14:textId="77777777" w:rsidR="00A92973" w:rsidRPr="00252071" w:rsidRDefault="00A92973" w:rsidP="000A73C2">
      <w:pPr>
        <w:numPr>
          <w:ilvl w:val="4"/>
          <w:numId w:val="31"/>
        </w:numPr>
        <w:spacing w:after="0" w:line="240" w:lineRule="auto"/>
        <w:jc w:val="both"/>
        <w:rPr>
          <w:rFonts w:asciiTheme="minorHAnsi" w:hAnsiTheme="minorHAnsi"/>
          <w:color w:val="000000" w:themeColor="text1"/>
          <w:sz w:val="22"/>
          <w:lang w:val="en-SG" w:eastAsia="ja-JP"/>
        </w:rPr>
      </w:pPr>
      <w:r w:rsidRPr="00252071">
        <w:rPr>
          <w:rFonts w:asciiTheme="minorHAnsi" w:hAnsiTheme="minorHAnsi"/>
          <w:b/>
          <w:color w:val="000000" w:themeColor="text1"/>
          <w:sz w:val="22"/>
          <w:lang w:val="en-SG" w:eastAsia="ja-JP"/>
        </w:rPr>
        <w:t>Skin Protection</w:t>
      </w:r>
      <w:r w:rsidRPr="00252071">
        <w:rPr>
          <w:rFonts w:asciiTheme="minorHAnsi" w:hAnsiTheme="minorHAnsi"/>
          <w:color w:val="000000" w:themeColor="text1"/>
          <w:sz w:val="22"/>
          <w:lang w:val="en-SG" w:eastAsia="ja-JP"/>
        </w:rPr>
        <w:t xml:space="preserve">: Wear chemical protective clothing e.g. gloves, aprons, boots of suitable materials such as butyl rubber, natural rubber, neoprene rubber, nitrile rubber, polyvinyl chloride, Viton etc of thickness &gt; 0.3mm </w:t>
      </w:r>
    </w:p>
    <w:p w14:paraId="5811A25F"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378EEBDB" w14:textId="77777777" w:rsidR="00A92973" w:rsidRPr="00252071" w:rsidRDefault="00A92973" w:rsidP="000A73C2">
      <w:pPr>
        <w:numPr>
          <w:ilvl w:val="4"/>
          <w:numId w:val="31"/>
        </w:numPr>
        <w:spacing w:after="0" w:line="240" w:lineRule="auto"/>
        <w:jc w:val="both"/>
        <w:rPr>
          <w:rFonts w:asciiTheme="minorHAnsi" w:hAnsiTheme="minorHAnsi"/>
          <w:b/>
          <w:color w:val="000000" w:themeColor="text1"/>
          <w:sz w:val="22"/>
          <w:lang w:val="en-SG" w:eastAsia="ja-JP"/>
        </w:rPr>
      </w:pPr>
      <w:r w:rsidRPr="00252071">
        <w:rPr>
          <w:rFonts w:asciiTheme="minorHAnsi" w:hAnsiTheme="minorHAnsi"/>
          <w:b/>
          <w:color w:val="000000" w:themeColor="text1"/>
          <w:sz w:val="22"/>
          <w:lang w:val="en-SG" w:eastAsia="ja-JP"/>
        </w:rPr>
        <w:t xml:space="preserve">Respiratory Protection: </w:t>
      </w:r>
    </w:p>
    <w:p w14:paraId="00FB0622"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3926E419"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 xml:space="preserve">Up to 10 </w:t>
      </w:r>
      <w:r w:rsidRPr="00252071">
        <w:rPr>
          <w:rFonts w:asciiTheme="minorHAnsi" w:hAnsiTheme="minorHAnsi"/>
          <w:b/>
          <w:color w:val="000000" w:themeColor="text1"/>
          <w:sz w:val="22"/>
          <w:lang w:val="en-SG" w:eastAsia="ja-JP"/>
        </w:rPr>
        <w:t>mg</w:t>
      </w:r>
      <w:r w:rsidRPr="00252071">
        <w:rPr>
          <w:rFonts w:asciiTheme="minorHAnsi" w:hAnsiTheme="minorHAnsi"/>
          <w:color w:val="000000" w:themeColor="text1"/>
          <w:sz w:val="22"/>
          <w:lang w:val="en-SG" w:eastAsia="ja-JP"/>
        </w:rPr>
        <w:t xml:space="preserve">/m3: </w:t>
      </w:r>
    </w:p>
    <w:p w14:paraId="24097132"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19484F80"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(APF = 25) Any supplied-air respirator operated in a continuous-flow mode*; OR Any powered air-purifying respirator with a high-efficiency particulate filter*.</w:t>
      </w:r>
    </w:p>
    <w:p w14:paraId="061EAE28" w14:textId="77777777" w:rsidR="00A92973" w:rsidRPr="00252071" w:rsidRDefault="00A92973" w:rsidP="000A73C2">
      <w:pPr>
        <w:spacing w:after="0" w:line="240" w:lineRule="auto"/>
        <w:ind w:left="720"/>
        <w:jc w:val="both"/>
        <w:rPr>
          <w:rFonts w:asciiTheme="minorHAnsi" w:hAnsiTheme="minorHAnsi"/>
          <w:color w:val="000000" w:themeColor="text1"/>
          <w:sz w:val="22"/>
          <w:lang w:val="en-SG" w:eastAsia="ja-JP"/>
        </w:rPr>
      </w:pPr>
    </w:p>
    <w:p w14:paraId="620BE109" w14:textId="77777777" w:rsidR="00A92973" w:rsidRPr="00252071" w:rsidRDefault="00A92973" w:rsidP="000A73C2">
      <w:pPr>
        <w:spacing w:after="0" w:line="240" w:lineRule="auto"/>
        <w:ind w:left="936"/>
        <w:jc w:val="both"/>
        <w:rPr>
          <w:rFonts w:asciiTheme="minorHAnsi" w:hAnsiTheme="minorHAnsi"/>
          <w:color w:val="000000" w:themeColor="text1"/>
          <w:sz w:val="22"/>
          <w:lang w:val="en-SG" w:eastAsia="ja-JP"/>
        </w:rPr>
      </w:pPr>
      <w:r w:rsidRPr="00252071">
        <w:rPr>
          <w:rFonts w:asciiTheme="minorHAnsi" w:hAnsiTheme="minorHAnsi"/>
          <w:color w:val="000000" w:themeColor="text1"/>
          <w:sz w:val="22"/>
          <w:lang w:val="en-SG" w:eastAsia="ja-JP"/>
        </w:rPr>
        <w:t>(APF = 50) Any air-purifying, full-facepiece respirator with an N100, R100, or P100 filter; OR Any self-contained breathing apparatus with a full facepiece; OR Any supplied-air respirator with a full facepiece.</w:t>
      </w:r>
    </w:p>
    <w:p w14:paraId="7CC5126C" w14:textId="77777777" w:rsidR="00955C80" w:rsidRDefault="00955C80" w:rsidP="000A73C2">
      <w:pPr>
        <w:jc w:val="both"/>
        <w:rPr>
          <w:color w:val="000000" w:themeColor="text1"/>
          <w:lang w:val="en-SG"/>
        </w:rPr>
      </w:pPr>
    </w:p>
    <w:p w14:paraId="2F60B89D" w14:textId="77777777" w:rsidR="004209D1" w:rsidRPr="00252071" w:rsidRDefault="004209D1" w:rsidP="004209D1">
      <w:pPr>
        <w:jc w:val="center"/>
        <w:rPr>
          <w:color w:val="000000" w:themeColor="text1"/>
          <w:lang w:val="en-SG"/>
        </w:rPr>
      </w:pPr>
      <w:r>
        <w:rPr>
          <w:color w:val="000000" w:themeColor="text1"/>
          <w:lang w:val="en-SG"/>
        </w:rPr>
        <w:t>-x-</w:t>
      </w:r>
    </w:p>
    <w:sectPr w:rsidR="004209D1" w:rsidRPr="00252071" w:rsidSect="00082B63">
      <w:headerReference w:type="default" r:id="rId10"/>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90846" w14:textId="77777777" w:rsidR="0096550E" w:rsidRDefault="0096550E" w:rsidP="00327586">
      <w:pPr>
        <w:spacing w:after="0" w:line="240" w:lineRule="auto"/>
      </w:pPr>
      <w:r>
        <w:separator/>
      </w:r>
    </w:p>
  </w:endnote>
  <w:endnote w:type="continuationSeparator" w:id="0">
    <w:p w14:paraId="624E6C3D" w14:textId="77777777" w:rsidR="0096550E" w:rsidRDefault="0096550E" w:rsidP="0032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6956" w14:textId="77777777" w:rsidR="0096550E" w:rsidRDefault="0096550E" w:rsidP="00327586">
      <w:pPr>
        <w:spacing w:after="0" w:line="240" w:lineRule="auto"/>
      </w:pPr>
      <w:r>
        <w:separator/>
      </w:r>
    </w:p>
  </w:footnote>
  <w:footnote w:type="continuationSeparator" w:id="0">
    <w:p w14:paraId="0A735393" w14:textId="77777777" w:rsidR="0096550E" w:rsidRDefault="0096550E" w:rsidP="00327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8C3CDC" w14:paraId="6E7A1125" w14:textId="77777777" w:rsidTr="0074733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6E441B9F" w14:textId="7EF211E8" w:rsidR="008C3CDC" w:rsidRDefault="008C3CDC" w:rsidP="008C3CDC">
          <w:pPr>
            <w:pStyle w:val="DefaultText"/>
            <w:spacing w:line="256" w:lineRule="auto"/>
            <w:jc w:val="center"/>
            <w:rPr>
              <w:lang w:bidi="th-TH"/>
            </w:rPr>
          </w:pPr>
          <w:r>
            <w:rPr>
              <w:lang w:bidi="th-TH"/>
            </w:rPr>
            <w:t>FOM-4.23</w:t>
          </w:r>
        </w:p>
      </w:tc>
      <w:tc>
        <w:tcPr>
          <w:tcW w:w="6303" w:type="dxa"/>
          <w:tcBorders>
            <w:top w:val="double" w:sz="6" w:space="0" w:color="auto"/>
            <w:left w:val="single" w:sz="6" w:space="0" w:color="auto"/>
            <w:bottom w:val="nil"/>
            <w:right w:val="nil"/>
          </w:tcBorders>
          <w:vAlign w:val="bottom"/>
        </w:tcPr>
        <w:p w14:paraId="45E48D4F" w14:textId="77777777" w:rsidR="008C3CDC" w:rsidRPr="00FE3C43" w:rsidRDefault="008C3CDC" w:rsidP="008C3CDC">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6C0DF4ED" w14:textId="27A5DF34" w:rsidR="008C3CDC" w:rsidRDefault="008C3CDC" w:rsidP="008C3CDC">
          <w:pPr>
            <w:pStyle w:val="TableText"/>
            <w:spacing w:line="256" w:lineRule="auto"/>
            <w:jc w:val="center"/>
            <w:rPr>
              <w:b/>
              <w:bCs/>
              <w:sz w:val="22"/>
              <w:lang w:eastAsia="ja-JP" w:bidi="th-TH"/>
            </w:rPr>
          </w:pPr>
          <w:r>
            <w:rPr>
              <w:rFonts w:ascii="Arial" w:hAnsi="Arial"/>
              <w:b/>
              <w:bCs/>
              <w:sz w:val="16"/>
              <w:lang w:bidi="th-TH"/>
            </w:rPr>
            <w:t>Doc No.: FOM 4.23</w:t>
          </w:r>
        </w:p>
      </w:tc>
    </w:tr>
    <w:tr w:rsidR="008C3CDC" w14:paraId="78810D23" w14:textId="77777777" w:rsidTr="0074733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BF0ABC1" w14:textId="77777777" w:rsidR="008C3CDC" w:rsidRDefault="008C3CDC" w:rsidP="008C3CD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3AF9F9EF" w14:textId="77777777" w:rsidR="008C3CDC" w:rsidRPr="007D7366" w:rsidRDefault="008C3CDC" w:rsidP="008C3CDC">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22F6121A" w14:textId="77777777" w:rsidR="008C3CDC" w:rsidRPr="00723775" w:rsidRDefault="008C3CDC" w:rsidP="008C3CDC">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552145D6" w14:textId="77777777" w:rsidR="008C3CDC" w:rsidRDefault="008C3CDC" w:rsidP="008C3CDC">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8C3CDC" w14:paraId="2C1D498C" w14:textId="77777777" w:rsidTr="0074733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9E1F539" w14:textId="77777777" w:rsidR="008C3CDC" w:rsidRDefault="008C3CDC" w:rsidP="008C3CD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3C8948C6" w14:textId="2C32B459" w:rsidR="008C3CDC" w:rsidRPr="00FE3C43" w:rsidRDefault="008C3CDC" w:rsidP="008C3CDC">
          <w:pPr>
            <w:pStyle w:val="TableText"/>
            <w:spacing w:line="256" w:lineRule="auto"/>
            <w:jc w:val="center"/>
            <w:rPr>
              <w:rFonts w:ascii="Arial" w:hAnsi="Arial" w:cs="Arial"/>
              <w:b/>
              <w:bCs/>
              <w:szCs w:val="24"/>
              <w:lang w:eastAsia="ja-JP" w:bidi="th-TH"/>
            </w:rPr>
          </w:pPr>
          <w:r w:rsidRPr="008C3CDC">
            <w:rPr>
              <w:rFonts w:ascii="Arial" w:hAnsi="Arial" w:cs="Arial"/>
              <w:b/>
              <w:color w:val="000000"/>
              <w:spacing w:val="-3"/>
              <w:szCs w:val="24"/>
              <w:lang w:val="nb-NO" w:bidi="th-TH"/>
            </w:rPr>
            <w:t>Exhaust gas Cleaning System</w:t>
          </w:r>
        </w:p>
      </w:tc>
      <w:tc>
        <w:tcPr>
          <w:tcW w:w="1972" w:type="dxa"/>
          <w:tcBorders>
            <w:top w:val="nil"/>
            <w:left w:val="single" w:sz="6" w:space="0" w:color="auto"/>
            <w:bottom w:val="single" w:sz="6" w:space="0" w:color="auto"/>
            <w:right w:val="double" w:sz="6" w:space="0" w:color="auto"/>
          </w:tcBorders>
          <w:vAlign w:val="center"/>
          <w:hideMark/>
        </w:tcPr>
        <w:p w14:paraId="79B9AF30" w14:textId="77777777" w:rsidR="008C3CDC" w:rsidRDefault="008C3CDC" w:rsidP="008C3CD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382CDC7" w14:textId="77777777" w:rsidR="008C3CDC" w:rsidRDefault="008C3CDC" w:rsidP="008C3CD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8C3CDC" w14:paraId="58AC0AA8" w14:textId="77777777" w:rsidTr="0074733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7A9B5C2B" w14:textId="77777777" w:rsidR="008C3CDC" w:rsidRDefault="008C3CDC" w:rsidP="008C3CDC">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352BD56F" w14:textId="77777777" w:rsidR="008C3CDC" w:rsidRPr="005A205D" w:rsidRDefault="008C3CDC" w:rsidP="008C3CDC">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6DA7C7E2" w14:textId="77777777" w:rsidR="008C3CDC" w:rsidRDefault="008C3CDC" w:rsidP="008C3CD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9183761" w14:textId="77777777" w:rsidR="00327586" w:rsidRDefault="00327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25AD"/>
    <w:multiLevelType w:val="multilevel"/>
    <w:tmpl w:val="A8323414"/>
    <w:lvl w:ilvl="0">
      <w:start w:val="1"/>
      <w:numFmt w:val="lowerRoman"/>
      <w:lvlText w:val="(%1)"/>
      <w:lvlJc w:val="right"/>
      <w:pPr>
        <w:tabs>
          <w:tab w:val="num" w:pos="1008"/>
        </w:tabs>
        <w:ind w:left="1224" w:hanging="432"/>
      </w:pPr>
      <w:rPr>
        <w:rFonts w:hint="default"/>
        <w:b w:val="0"/>
        <w:bCs/>
      </w:rPr>
    </w:lvl>
    <w:lvl w:ilvl="1">
      <w:start w:val="1"/>
      <w:numFmt w:val="lowerLetter"/>
      <w:lvlText w:val="%2."/>
      <w:lvlJc w:val="left"/>
      <w:pPr>
        <w:tabs>
          <w:tab w:val="num" w:pos="1368"/>
        </w:tabs>
        <w:ind w:left="1368" w:hanging="360"/>
      </w:pPr>
      <w:rPr>
        <w:rFonts w:hint="default"/>
      </w:rPr>
    </w:lvl>
    <w:lvl w:ilvl="2">
      <w:start w:val="1"/>
      <w:numFmt w:val="lowerRoman"/>
      <w:lvlText w:val="%3."/>
      <w:lvlJc w:val="right"/>
      <w:pPr>
        <w:tabs>
          <w:tab w:val="num" w:pos="2088"/>
        </w:tabs>
        <w:ind w:left="2088" w:hanging="180"/>
      </w:pPr>
      <w:rPr>
        <w:rFonts w:hint="default"/>
      </w:rPr>
    </w:lvl>
    <w:lvl w:ilvl="3">
      <w:start w:val="1"/>
      <w:numFmt w:val="decimal"/>
      <w:lvlText w:val="%4."/>
      <w:lvlJc w:val="left"/>
      <w:pPr>
        <w:tabs>
          <w:tab w:val="num" w:pos="2808"/>
        </w:tabs>
        <w:ind w:left="2808" w:hanging="360"/>
      </w:pPr>
      <w:rPr>
        <w:rFonts w:hint="default"/>
      </w:rPr>
    </w:lvl>
    <w:lvl w:ilvl="4">
      <w:start w:val="1"/>
      <w:numFmt w:val="lowerLetter"/>
      <w:lvlText w:val="%5."/>
      <w:lvlJc w:val="left"/>
      <w:pPr>
        <w:tabs>
          <w:tab w:val="num" w:pos="3528"/>
        </w:tabs>
        <w:ind w:left="3528" w:hanging="360"/>
      </w:pPr>
      <w:rPr>
        <w:rFonts w:hint="default"/>
      </w:rPr>
    </w:lvl>
    <w:lvl w:ilvl="5">
      <w:start w:val="1"/>
      <w:numFmt w:val="lowerRoman"/>
      <w:lvlText w:val="%6."/>
      <w:lvlJc w:val="right"/>
      <w:pPr>
        <w:tabs>
          <w:tab w:val="num" w:pos="4248"/>
        </w:tabs>
        <w:ind w:left="4248" w:hanging="180"/>
      </w:pPr>
      <w:rPr>
        <w:rFonts w:hint="default"/>
      </w:rPr>
    </w:lvl>
    <w:lvl w:ilvl="6">
      <w:start w:val="1"/>
      <w:numFmt w:val="decimal"/>
      <w:lvlText w:val="%7."/>
      <w:lvlJc w:val="left"/>
      <w:pPr>
        <w:tabs>
          <w:tab w:val="num" w:pos="4968"/>
        </w:tabs>
        <w:ind w:left="4968" w:hanging="360"/>
      </w:pPr>
      <w:rPr>
        <w:rFonts w:hint="default"/>
      </w:rPr>
    </w:lvl>
    <w:lvl w:ilvl="7">
      <w:start w:val="1"/>
      <w:numFmt w:val="lowerLetter"/>
      <w:lvlText w:val="%8."/>
      <w:lvlJc w:val="left"/>
      <w:pPr>
        <w:tabs>
          <w:tab w:val="num" w:pos="5688"/>
        </w:tabs>
        <w:ind w:left="5688" w:hanging="360"/>
      </w:pPr>
      <w:rPr>
        <w:rFonts w:hint="default"/>
      </w:rPr>
    </w:lvl>
    <w:lvl w:ilvl="8">
      <w:start w:val="1"/>
      <w:numFmt w:val="lowerRoman"/>
      <w:lvlText w:val="%9."/>
      <w:lvlJc w:val="right"/>
      <w:pPr>
        <w:tabs>
          <w:tab w:val="num" w:pos="6408"/>
        </w:tabs>
        <w:ind w:left="6408" w:hanging="180"/>
      </w:pPr>
      <w:rPr>
        <w:rFonts w:hint="default"/>
      </w:rPr>
    </w:lvl>
  </w:abstractNum>
  <w:abstractNum w:abstractNumId="1" w15:restartNumberingAfterBreak="0">
    <w:nsid w:val="09F40268"/>
    <w:multiLevelType w:val="multilevel"/>
    <w:tmpl w:val="C944BCD2"/>
    <w:lvl w:ilvl="0">
      <w:start w:val="1"/>
      <w:numFmt w:val="lowerRoman"/>
      <w:lvlText w:val="(%1)"/>
      <w:lvlJc w:val="right"/>
      <w:pPr>
        <w:tabs>
          <w:tab w:val="num" w:pos="1008"/>
        </w:tabs>
        <w:ind w:left="1224" w:hanging="432"/>
      </w:pPr>
      <w:rPr>
        <w:rFonts w:hint="default"/>
        <w:b w:val="0"/>
        <w:bCs/>
      </w:rPr>
    </w:lvl>
    <w:lvl w:ilvl="1">
      <w:start w:val="1"/>
      <w:numFmt w:val="lowerLetter"/>
      <w:lvlText w:val="%2."/>
      <w:lvlJc w:val="left"/>
      <w:pPr>
        <w:tabs>
          <w:tab w:val="num" w:pos="1368"/>
        </w:tabs>
        <w:ind w:left="1368" w:hanging="360"/>
      </w:pPr>
      <w:rPr>
        <w:rFonts w:hint="default"/>
      </w:rPr>
    </w:lvl>
    <w:lvl w:ilvl="2">
      <w:start w:val="1"/>
      <w:numFmt w:val="lowerRoman"/>
      <w:lvlText w:val="%3."/>
      <w:lvlJc w:val="right"/>
      <w:pPr>
        <w:tabs>
          <w:tab w:val="num" w:pos="2088"/>
        </w:tabs>
        <w:ind w:left="2088" w:hanging="180"/>
      </w:pPr>
      <w:rPr>
        <w:rFonts w:hint="default"/>
      </w:rPr>
    </w:lvl>
    <w:lvl w:ilvl="3">
      <w:start w:val="1"/>
      <w:numFmt w:val="decimal"/>
      <w:lvlText w:val="%4."/>
      <w:lvlJc w:val="left"/>
      <w:pPr>
        <w:tabs>
          <w:tab w:val="num" w:pos="2808"/>
        </w:tabs>
        <w:ind w:left="2808" w:hanging="360"/>
      </w:pPr>
      <w:rPr>
        <w:rFonts w:hint="default"/>
      </w:rPr>
    </w:lvl>
    <w:lvl w:ilvl="4">
      <w:start w:val="1"/>
      <w:numFmt w:val="lowerLetter"/>
      <w:lvlText w:val="%5."/>
      <w:lvlJc w:val="left"/>
      <w:pPr>
        <w:tabs>
          <w:tab w:val="num" w:pos="3528"/>
        </w:tabs>
        <w:ind w:left="3528" w:hanging="360"/>
      </w:pPr>
      <w:rPr>
        <w:rFonts w:hint="default"/>
      </w:rPr>
    </w:lvl>
    <w:lvl w:ilvl="5">
      <w:start w:val="1"/>
      <w:numFmt w:val="lowerRoman"/>
      <w:lvlText w:val="%6."/>
      <w:lvlJc w:val="right"/>
      <w:pPr>
        <w:tabs>
          <w:tab w:val="num" w:pos="4248"/>
        </w:tabs>
        <w:ind w:left="4248" w:hanging="180"/>
      </w:pPr>
      <w:rPr>
        <w:rFonts w:hint="default"/>
      </w:rPr>
    </w:lvl>
    <w:lvl w:ilvl="6">
      <w:start w:val="1"/>
      <w:numFmt w:val="decimal"/>
      <w:lvlText w:val="%7."/>
      <w:lvlJc w:val="left"/>
      <w:pPr>
        <w:tabs>
          <w:tab w:val="num" w:pos="4968"/>
        </w:tabs>
        <w:ind w:left="4968" w:hanging="360"/>
      </w:pPr>
      <w:rPr>
        <w:rFonts w:hint="default"/>
      </w:rPr>
    </w:lvl>
    <w:lvl w:ilvl="7">
      <w:start w:val="1"/>
      <w:numFmt w:val="lowerLetter"/>
      <w:lvlText w:val="%8."/>
      <w:lvlJc w:val="left"/>
      <w:pPr>
        <w:tabs>
          <w:tab w:val="num" w:pos="5688"/>
        </w:tabs>
        <w:ind w:left="5688" w:hanging="360"/>
      </w:pPr>
      <w:rPr>
        <w:rFonts w:hint="default"/>
      </w:rPr>
    </w:lvl>
    <w:lvl w:ilvl="8">
      <w:start w:val="1"/>
      <w:numFmt w:val="lowerRoman"/>
      <w:lvlText w:val="%9."/>
      <w:lvlJc w:val="right"/>
      <w:pPr>
        <w:tabs>
          <w:tab w:val="num" w:pos="6408"/>
        </w:tabs>
        <w:ind w:left="6408" w:hanging="180"/>
      </w:pPr>
      <w:rPr>
        <w:rFonts w:hint="default"/>
      </w:rPr>
    </w:lvl>
  </w:abstractNum>
  <w:abstractNum w:abstractNumId="2" w15:restartNumberingAfterBreak="0">
    <w:nsid w:val="0F7948E5"/>
    <w:multiLevelType w:val="multilevel"/>
    <w:tmpl w:val="F11ED32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3" w15:restartNumberingAfterBreak="0">
    <w:nsid w:val="11AF1119"/>
    <w:multiLevelType w:val="multilevel"/>
    <w:tmpl w:val="64E2B00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 w15:restartNumberingAfterBreak="0">
    <w:nsid w:val="18344942"/>
    <w:multiLevelType w:val="multilevel"/>
    <w:tmpl w:val="1424ED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5" w15:restartNumberingAfterBreak="0">
    <w:nsid w:val="19DE16DF"/>
    <w:multiLevelType w:val="multilevel"/>
    <w:tmpl w:val="9386F9D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 w15:restartNumberingAfterBreak="0">
    <w:nsid w:val="1FA54160"/>
    <w:multiLevelType w:val="multilevel"/>
    <w:tmpl w:val="EFBA6C9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7" w15:restartNumberingAfterBreak="0">
    <w:nsid w:val="21160174"/>
    <w:multiLevelType w:val="multilevel"/>
    <w:tmpl w:val="FF309E92"/>
    <w:lvl w:ilvl="0">
      <w:start w:val="1"/>
      <w:numFmt w:val="lowerRoman"/>
      <w:lvlText w:val="(%1)"/>
      <w:lvlJc w:val="right"/>
      <w:pPr>
        <w:tabs>
          <w:tab w:val="num" w:pos="1008"/>
        </w:tabs>
        <w:ind w:left="1224" w:hanging="432"/>
      </w:pPr>
      <w:rPr>
        <w:rFonts w:hint="default"/>
        <w:b w:val="0"/>
        <w:bCs/>
      </w:rPr>
    </w:lvl>
    <w:lvl w:ilvl="1">
      <w:start w:val="1"/>
      <w:numFmt w:val="lowerLetter"/>
      <w:lvlText w:val="%2."/>
      <w:lvlJc w:val="left"/>
      <w:pPr>
        <w:tabs>
          <w:tab w:val="num" w:pos="1368"/>
        </w:tabs>
        <w:ind w:left="1368" w:hanging="360"/>
      </w:pPr>
      <w:rPr>
        <w:rFonts w:hint="default"/>
      </w:rPr>
    </w:lvl>
    <w:lvl w:ilvl="2">
      <w:start w:val="1"/>
      <w:numFmt w:val="lowerRoman"/>
      <w:lvlText w:val="%3."/>
      <w:lvlJc w:val="right"/>
      <w:pPr>
        <w:tabs>
          <w:tab w:val="num" w:pos="2088"/>
        </w:tabs>
        <w:ind w:left="2088" w:hanging="180"/>
      </w:pPr>
      <w:rPr>
        <w:rFonts w:hint="default"/>
      </w:rPr>
    </w:lvl>
    <w:lvl w:ilvl="3">
      <w:start w:val="1"/>
      <w:numFmt w:val="decimal"/>
      <w:lvlText w:val="%4."/>
      <w:lvlJc w:val="left"/>
      <w:pPr>
        <w:tabs>
          <w:tab w:val="num" w:pos="2808"/>
        </w:tabs>
        <w:ind w:left="2808" w:hanging="360"/>
      </w:pPr>
      <w:rPr>
        <w:rFonts w:hint="default"/>
      </w:rPr>
    </w:lvl>
    <w:lvl w:ilvl="4">
      <w:start w:val="1"/>
      <w:numFmt w:val="lowerLetter"/>
      <w:lvlText w:val="%5."/>
      <w:lvlJc w:val="left"/>
      <w:pPr>
        <w:tabs>
          <w:tab w:val="num" w:pos="3528"/>
        </w:tabs>
        <w:ind w:left="3528" w:hanging="360"/>
      </w:pPr>
      <w:rPr>
        <w:rFonts w:hint="default"/>
      </w:rPr>
    </w:lvl>
    <w:lvl w:ilvl="5">
      <w:start w:val="1"/>
      <w:numFmt w:val="lowerRoman"/>
      <w:lvlText w:val="%6."/>
      <w:lvlJc w:val="right"/>
      <w:pPr>
        <w:tabs>
          <w:tab w:val="num" w:pos="4248"/>
        </w:tabs>
        <w:ind w:left="4248" w:hanging="180"/>
      </w:pPr>
      <w:rPr>
        <w:rFonts w:hint="default"/>
      </w:rPr>
    </w:lvl>
    <w:lvl w:ilvl="6">
      <w:start w:val="1"/>
      <w:numFmt w:val="decimal"/>
      <w:lvlText w:val="%7."/>
      <w:lvlJc w:val="left"/>
      <w:pPr>
        <w:tabs>
          <w:tab w:val="num" w:pos="4968"/>
        </w:tabs>
        <w:ind w:left="4968" w:hanging="360"/>
      </w:pPr>
      <w:rPr>
        <w:rFonts w:hint="default"/>
      </w:rPr>
    </w:lvl>
    <w:lvl w:ilvl="7">
      <w:start w:val="1"/>
      <w:numFmt w:val="lowerLetter"/>
      <w:lvlText w:val="%8."/>
      <w:lvlJc w:val="left"/>
      <w:pPr>
        <w:tabs>
          <w:tab w:val="num" w:pos="5688"/>
        </w:tabs>
        <w:ind w:left="5688" w:hanging="360"/>
      </w:pPr>
      <w:rPr>
        <w:rFonts w:hint="default"/>
      </w:rPr>
    </w:lvl>
    <w:lvl w:ilvl="8">
      <w:start w:val="1"/>
      <w:numFmt w:val="lowerRoman"/>
      <w:lvlText w:val="%9."/>
      <w:lvlJc w:val="right"/>
      <w:pPr>
        <w:tabs>
          <w:tab w:val="num" w:pos="6408"/>
        </w:tabs>
        <w:ind w:left="6408" w:hanging="180"/>
      </w:pPr>
      <w:rPr>
        <w:rFonts w:hint="default"/>
      </w:rPr>
    </w:lvl>
  </w:abstractNum>
  <w:abstractNum w:abstractNumId="8" w15:restartNumberingAfterBreak="0">
    <w:nsid w:val="25B255C5"/>
    <w:multiLevelType w:val="hybridMultilevel"/>
    <w:tmpl w:val="CD5AA408"/>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27C73CDA"/>
    <w:multiLevelType w:val="hybridMultilevel"/>
    <w:tmpl w:val="61FEB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FA2697"/>
    <w:multiLevelType w:val="multilevel"/>
    <w:tmpl w:val="3FD683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1" w15:restartNumberingAfterBreak="0">
    <w:nsid w:val="2E4F56FD"/>
    <w:multiLevelType w:val="hybridMultilevel"/>
    <w:tmpl w:val="0C80E5A2"/>
    <w:lvl w:ilvl="0" w:tplc="04090001">
      <w:start w:val="1"/>
      <w:numFmt w:val="bullet"/>
      <w:lvlText w:val=""/>
      <w:lvlJc w:val="left"/>
      <w:pPr>
        <w:ind w:left="720" w:hanging="360"/>
      </w:pPr>
      <w:rPr>
        <w:rFonts w:ascii="Symbol" w:hAnsi="Symbol" w:hint="default"/>
      </w:rPr>
    </w:lvl>
    <w:lvl w:ilvl="1" w:tplc="3EBADFD0">
      <w:numFmt w:val="bullet"/>
      <w:lvlText w:val="•"/>
      <w:lvlJc w:val="left"/>
      <w:pPr>
        <w:ind w:left="1440" w:hanging="360"/>
      </w:pPr>
      <w:rPr>
        <w:rFonts w:ascii="Times New Roman" w:eastAsia="MS Mincho" w:hAnsi="Times New Roman" w:cs="Times New Roman"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F43594D"/>
    <w:multiLevelType w:val="multilevel"/>
    <w:tmpl w:val="9A38D2D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3" w15:restartNumberingAfterBreak="0">
    <w:nsid w:val="2FC43EAF"/>
    <w:multiLevelType w:val="multilevel"/>
    <w:tmpl w:val="05D623D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4" w15:restartNumberingAfterBreak="0">
    <w:nsid w:val="344F025B"/>
    <w:multiLevelType w:val="multilevel"/>
    <w:tmpl w:val="FA6457F8"/>
    <w:lvl w:ilvl="0">
      <w:start w:val="1"/>
      <w:numFmt w:val="lowerRoman"/>
      <w:lvlText w:val="(%1)"/>
      <w:lvlJc w:val="left"/>
      <w:pPr>
        <w:tabs>
          <w:tab w:val="num" w:pos="1008"/>
        </w:tabs>
        <w:ind w:left="1224" w:hanging="432"/>
      </w:pPr>
      <w:rPr>
        <w:rFonts w:hint="default"/>
      </w:rPr>
    </w:lvl>
    <w:lvl w:ilvl="1">
      <w:start w:val="1"/>
      <w:numFmt w:val="lowerLetter"/>
      <w:lvlText w:val="%2."/>
      <w:lvlJc w:val="left"/>
      <w:pPr>
        <w:tabs>
          <w:tab w:val="num" w:pos="1368"/>
        </w:tabs>
        <w:ind w:left="1368" w:hanging="360"/>
      </w:pPr>
      <w:rPr>
        <w:rFonts w:hint="default"/>
      </w:rPr>
    </w:lvl>
    <w:lvl w:ilvl="2">
      <w:start w:val="1"/>
      <w:numFmt w:val="lowerRoman"/>
      <w:lvlText w:val="%3."/>
      <w:lvlJc w:val="right"/>
      <w:pPr>
        <w:tabs>
          <w:tab w:val="num" w:pos="2088"/>
        </w:tabs>
        <w:ind w:left="2088" w:hanging="180"/>
      </w:pPr>
      <w:rPr>
        <w:rFonts w:hint="default"/>
      </w:rPr>
    </w:lvl>
    <w:lvl w:ilvl="3">
      <w:start w:val="1"/>
      <w:numFmt w:val="decimal"/>
      <w:lvlText w:val="%4."/>
      <w:lvlJc w:val="left"/>
      <w:pPr>
        <w:tabs>
          <w:tab w:val="num" w:pos="2808"/>
        </w:tabs>
        <w:ind w:left="2808" w:hanging="360"/>
      </w:pPr>
      <w:rPr>
        <w:rFonts w:hint="default"/>
      </w:rPr>
    </w:lvl>
    <w:lvl w:ilvl="4">
      <w:start w:val="1"/>
      <w:numFmt w:val="lowerLetter"/>
      <w:lvlText w:val="%5."/>
      <w:lvlJc w:val="left"/>
      <w:pPr>
        <w:tabs>
          <w:tab w:val="num" w:pos="3528"/>
        </w:tabs>
        <w:ind w:left="3528" w:hanging="360"/>
      </w:pPr>
      <w:rPr>
        <w:rFonts w:hint="default"/>
      </w:rPr>
    </w:lvl>
    <w:lvl w:ilvl="5">
      <w:start w:val="1"/>
      <w:numFmt w:val="lowerRoman"/>
      <w:lvlText w:val="%6."/>
      <w:lvlJc w:val="right"/>
      <w:pPr>
        <w:tabs>
          <w:tab w:val="num" w:pos="4248"/>
        </w:tabs>
        <w:ind w:left="4248" w:hanging="180"/>
      </w:pPr>
      <w:rPr>
        <w:rFonts w:hint="default"/>
      </w:rPr>
    </w:lvl>
    <w:lvl w:ilvl="6">
      <w:start w:val="1"/>
      <w:numFmt w:val="decimal"/>
      <w:lvlText w:val="%7."/>
      <w:lvlJc w:val="left"/>
      <w:pPr>
        <w:tabs>
          <w:tab w:val="num" w:pos="4968"/>
        </w:tabs>
        <w:ind w:left="4968" w:hanging="360"/>
      </w:pPr>
      <w:rPr>
        <w:rFonts w:hint="default"/>
      </w:rPr>
    </w:lvl>
    <w:lvl w:ilvl="7">
      <w:start w:val="1"/>
      <w:numFmt w:val="lowerLetter"/>
      <w:lvlText w:val="%8."/>
      <w:lvlJc w:val="left"/>
      <w:pPr>
        <w:tabs>
          <w:tab w:val="num" w:pos="5688"/>
        </w:tabs>
        <w:ind w:left="5688" w:hanging="360"/>
      </w:pPr>
      <w:rPr>
        <w:rFonts w:hint="default"/>
      </w:rPr>
    </w:lvl>
    <w:lvl w:ilvl="8">
      <w:start w:val="1"/>
      <w:numFmt w:val="lowerRoman"/>
      <w:lvlText w:val="%9."/>
      <w:lvlJc w:val="right"/>
      <w:pPr>
        <w:tabs>
          <w:tab w:val="num" w:pos="6408"/>
        </w:tabs>
        <w:ind w:left="6408" w:hanging="180"/>
      </w:pPr>
      <w:rPr>
        <w:rFonts w:hint="default"/>
      </w:rPr>
    </w:lvl>
  </w:abstractNum>
  <w:abstractNum w:abstractNumId="15" w15:restartNumberingAfterBreak="0">
    <w:nsid w:val="3ECA0E0F"/>
    <w:multiLevelType w:val="multilevel"/>
    <w:tmpl w:val="E7460CE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6" w15:restartNumberingAfterBreak="0">
    <w:nsid w:val="42306567"/>
    <w:multiLevelType w:val="multilevel"/>
    <w:tmpl w:val="52A84DE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7" w15:restartNumberingAfterBreak="0">
    <w:nsid w:val="42613C89"/>
    <w:multiLevelType w:val="multilevel"/>
    <w:tmpl w:val="47EA554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8" w15:restartNumberingAfterBreak="0">
    <w:nsid w:val="42E62EEF"/>
    <w:multiLevelType w:val="multilevel"/>
    <w:tmpl w:val="B2C236D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9" w15:restartNumberingAfterBreak="0">
    <w:nsid w:val="43525DA0"/>
    <w:multiLevelType w:val="multilevel"/>
    <w:tmpl w:val="671C1D76"/>
    <w:lvl w:ilvl="0">
      <w:start w:val="1"/>
      <w:numFmt w:val="lowerRoman"/>
      <w:lvlText w:val="(%1)"/>
      <w:lvlJc w:val="right"/>
      <w:pPr>
        <w:tabs>
          <w:tab w:val="num" w:pos="1008"/>
        </w:tabs>
        <w:ind w:left="1008" w:hanging="720"/>
      </w:pPr>
      <w:rPr>
        <w:rFonts w:hint="default"/>
        <w:b w:val="0"/>
        <w:bCs/>
      </w:rPr>
    </w:lvl>
    <w:lvl w:ilvl="1">
      <w:start w:val="1"/>
      <w:numFmt w:val="lowerLetter"/>
      <w:lvlText w:val="%2."/>
      <w:lvlJc w:val="left"/>
      <w:pPr>
        <w:tabs>
          <w:tab w:val="num" w:pos="1368"/>
        </w:tabs>
        <w:ind w:left="1368" w:hanging="360"/>
      </w:pPr>
      <w:rPr>
        <w:rFonts w:hint="default"/>
      </w:rPr>
    </w:lvl>
    <w:lvl w:ilvl="2">
      <w:start w:val="1"/>
      <w:numFmt w:val="lowerRoman"/>
      <w:lvlText w:val="%3."/>
      <w:lvlJc w:val="right"/>
      <w:pPr>
        <w:tabs>
          <w:tab w:val="num" w:pos="2088"/>
        </w:tabs>
        <w:ind w:left="2088" w:hanging="180"/>
      </w:pPr>
      <w:rPr>
        <w:rFonts w:hint="default"/>
      </w:rPr>
    </w:lvl>
    <w:lvl w:ilvl="3">
      <w:start w:val="1"/>
      <w:numFmt w:val="decimal"/>
      <w:lvlText w:val="%4."/>
      <w:lvlJc w:val="left"/>
      <w:pPr>
        <w:tabs>
          <w:tab w:val="num" w:pos="2808"/>
        </w:tabs>
        <w:ind w:left="2808" w:hanging="360"/>
      </w:pPr>
      <w:rPr>
        <w:rFonts w:hint="default"/>
      </w:rPr>
    </w:lvl>
    <w:lvl w:ilvl="4">
      <w:start w:val="1"/>
      <w:numFmt w:val="lowerLetter"/>
      <w:lvlText w:val="%5."/>
      <w:lvlJc w:val="left"/>
      <w:pPr>
        <w:tabs>
          <w:tab w:val="num" w:pos="3528"/>
        </w:tabs>
        <w:ind w:left="3528" w:hanging="360"/>
      </w:pPr>
      <w:rPr>
        <w:rFonts w:hint="default"/>
      </w:rPr>
    </w:lvl>
    <w:lvl w:ilvl="5">
      <w:start w:val="1"/>
      <w:numFmt w:val="lowerRoman"/>
      <w:lvlText w:val="%6."/>
      <w:lvlJc w:val="right"/>
      <w:pPr>
        <w:tabs>
          <w:tab w:val="num" w:pos="4248"/>
        </w:tabs>
        <w:ind w:left="4248" w:hanging="180"/>
      </w:pPr>
      <w:rPr>
        <w:rFonts w:hint="default"/>
      </w:rPr>
    </w:lvl>
    <w:lvl w:ilvl="6">
      <w:start w:val="1"/>
      <w:numFmt w:val="decimal"/>
      <w:lvlText w:val="%7."/>
      <w:lvlJc w:val="left"/>
      <w:pPr>
        <w:tabs>
          <w:tab w:val="num" w:pos="4968"/>
        </w:tabs>
        <w:ind w:left="4968" w:hanging="360"/>
      </w:pPr>
      <w:rPr>
        <w:rFonts w:hint="default"/>
      </w:rPr>
    </w:lvl>
    <w:lvl w:ilvl="7">
      <w:start w:val="1"/>
      <w:numFmt w:val="lowerLetter"/>
      <w:lvlText w:val="%8."/>
      <w:lvlJc w:val="left"/>
      <w:pPr>
        <w:tabs>
          <w:tab w:val="num" w:pos="5688"/>
        </w:tabs>
        <w:ind w:left="5688" w:hanging="360"/>
      </w:pPr>
      <w:rPr>
        <w:rFonts w:hint="default"/>
      </w:rPr>
    </w:lvl>
    <w:lvl w:ilvl="8">
      <w:start w:val="1"/>
      <w:numFmt w:val="lowerRoman"/>
      <w:lvlText w:val="%9."/>
      <w:lvlJc w:val="right"/>
      <w:pPr>
        <w:tabs>
          <w:tab w:val="num" w:pos="6408"/>
        </w:tabs>
        <w:ind w:left="6408" w:hanging="180"/>
      </w:pPr>
      <w:rPr>
        <w:rFonts w:hint="default"/>
      </w:rPr>
    </w:lvl>
  </w:abstractNum>
  <w:abstractNum w:abstractNumId="20" w15:restartNumberingAfterBreak="0">
    <w:nsid w:val="4DDB1769"/>
    <w:multiLevelType w:val="multilevel"/>
    <w:tmpl w:val="B778F88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1" w15:restartNumberingAfterBreak="0">
    <w:nsid w:val="503C4A51"/>
    <w:multiLevelType w:val="multilevel"/>
    <w:tmpl w:val="BDAE5B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2" w15:restartNumberingAfterBreak="0">
    <w:nsid w:val="581569A1"/>
    <w:multiLevelType w:val="multilevel"/>
    <w:tmpl w:val="03868BC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3" w15:restartNumberingAfterBreak="0">
    <w:nsid w:val="5A1649CE"/>
    <w:multiLevelType w:val="multilevel"/>
    <w:tmpl w:val="9C1A10D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4" w15:restartNumberingAfterBreak="0">
    <w:nsid w:val="606964F6"/>
    <w:multiLevelType w:val="multilevel"/>
    <w:tmpl w:val="A4108E2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5" w15:restartNumberingAfterBreak="0">
    <w:nsid w:val="6778346C"/>
    <w:multiLevelType w:val="multilevel"/>
    <w:tmpl w:val="76DA2200"/>
    <w:lvl w:ilvl="0">
      <w:start w:val="4"/>
      <w:numFmt w:val="decimal"/>
      <w:lvlText w:val="%1."/>
      <w:lvlJc w:val="left"/>
      <w:pPr>
        <w:ind w:left="360" w:hanging="360"/>
      </w:pPr>
      <w:rPr>
        <w:rFonts w:ascii="Calibri" w:hAnsi="Calibri" w:hint="default"/>
        <w:b/>
        <w:i w:val="0"/>
        <w:caps/>
        <w:strike w:val="0"/>
        <w:dstrike w:val="0"/>
        <w:color w:val="000000" w:themeColor="text1"/>
        <w:sz w:val="32"/>
        <w:szCs w:val="24"/>
        <w:u w:val="none"/>
        <w:effect w:val="none"/>
      </w:rPr>
    </w:lvl>
    <w:lvl w:ilvl="1">
      <w:start w:val="23"/>
      <w:numFmt w:val="decimal"/>
      <w:lvlText w:val="%1.%2."/>
      <w:lvlJc w:val="left"/>
      <w:pPr>
        <w:ind w:left="792" w:hanging="648"/>
      </w:pPr>
      <w:rPr>
        <w:rFonts w:ascii="Calibri" w:hAnsi="Calibri" w:hint="default"/>
        <w:b/>
        <w:bCs w:val="0"/>
        <w:i w:val="0"/>
        <w:caps/>
        <w:strike w:val="0"/>
        <w:dstrike w:val="0"/>
        <w:color w:val="000000" w:themeColor="text1"/>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6" w15:restartNumberingAfterBreak="0">
    <w:nsid w:val="6CF24D0D"/>
    <w:multiLevelType w:val="multilevel"/>
    <w:tmpl w:val="329C159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7" w15:restartNumberingAfterBreak="0">
    <w:nsid w:val="6EAB7420"/>
    <w:multiLevelType w:val="multilevel"/>
    <w:tmpl w:val="A3AA3ECC"/>
    <w:lvl w:ilvl="0">
      <w:start w:val="1"/>
      <w:numFmt w:val="lowerLetter"/>
      <w:lvlText w:val="(%1)"/>
      <w:lvlJc w:val="left"/>
      <w:pPr>
        <w:ind w:left="936" w:hanging="504"/>
      </w:pPr>
      <w:rPr>
        <w:rFonts w:hint="default"/>
        <w:strike w:val="0"/>
        <w:color w:val="auto"/>
      </w:rPr>
    </w:lvl>
    <w:lvl w:ilvl="1">
      <w:start w:val="1"/>
      <w:numFmt w:val="lowerLetter"/>
      <w:lvlText w:val="%2."/>
      <w:lvlJc w:val="left"/>
      <w:pPr>
        <w:ind w:left="2367" w:hanging="360"/>
      </w:pPr>
      <w:rPr>
        <w:rFonts w:hint="default"/>
      </w:rPr>
    </w:lvl>
    <w:lvl w:ilvl="2">
      <w:start w:val="1"/>
      <w:numFmt w:val="lowerRoman"/>
      <w:lvlText w:val="%3."/>
      <w:lvlJc w:val="right"/>
      <w:pPr>
        <w:ind w:left="3087" w:hanging="180"/>
      </w:pPr>
      <w:rPr>
        <w:rFonts w:hint="default"/>
      </w:rPr>
    </w:lvl>
    <w:lvl w:ilvl="3">
      <w:start w:val="1"/>
      <w:numFmt w:val="decimal"/>
      <w:lvlText w:val="%4."/>
      <w:lvlJc w:val="left"/>
      <w:pPr>
        <w:ind w:left="3807" w:hanging="360"/>
      </w:pPr>
      <w:rPr>
        <w:rFonts w:hint="default"/>
      </w:rPr>
    </w:lvl>
    <w:lvl w:ilvl="4">
      <w:start w:val="1"/>
      <w:numFmt w:val="lowerLetter"/>
      <w:lvlText w:val="%5."/>
      <w:lvlJc w:val="left"/>
      <w:pPr>
        <w:ind w:left="4527" w:hanging="360"/>
      </w:pPr>
      <w:rPr>
        <w:rFonts w:hint="default"/>
      </w:rPr>
    </w:lvl>
    <w:lvl w:ilvl="5">
      <w:start w:val="1"/>
      <w:numFmt w:val="lowerRoman"/>
      <w:lvlText w:val="%6."/>
      <w:lvlJc w:val="right"/>
      <w:pPr>
        <w:ind w:left="5247" w:hanging="180"/>
      </w:pPr>
      <w:rPr>
        <w:rFonts w:hint="default"/>
      </w:rPr>
    </w:lvl>
    <w:lvl w:ilvl="6">
      <w:start w:val="1"/>
      <w:numFmt w:val="decimal"/>
      <w:lvlText w:val="%7."/>
      <w:lvlJc w:val="left"/>
      <w:pPr>
        <w:ind w:left="5967" w:hanging="360"/>
      </w:pPr>
      <w:rPr>
        <w:rFonts w:hint="default"/>
      </w:rPr>
    </w:lvl>
    <w:lvl w:ilvl="7">
      <w:start w:val="1"/>
      <w:numFmt w:val="lowerLetter"/>
      <w:lvlText w:val="%8."/>
      <w:lvlJc w:val="left"/>
      <w:pPr>
        <w:ind w:left="6687" w:hanging="360"/>
      </w:pPr>
      <w:rPr>
        <w:rFonts w:hint="default"/>
      </w:rPr>
    </w:lvl>
    <w:lvl w:ilvl="8">
      <w:start w:val="1"/>
      <w:numFmt w:val="lowerRoman"/>
      <w:lvlText w:val="%9."/>
      <w:lvlJc w:val="right"/>
      <w:pPr>
        <w:ind w:left="7407" w:hanging="180"/>
      </w:pPr>
      <w:rPr>
        <w:rFonts w:hint="default"/>
      </w:rPr>
    </w:lvl>
  </w:abstractNum>
  <w:abstractNum w:abstractNumId="28" w15:restartNumberingAfterBreak="0">
    <w:nsid w:val="715F1C3B"/>
    <w:multiLevelType w:val="multilevel"/>
    <w:tmpl w:val="23C2500C"/>
    <w:lvl w:ilvl="0">
      <w:start w:val="1"/>
      <w:numFmt w:val="lowerLetter"/>
      <w:lvlText w:val="(%1)"/>
      <w:lvlJc w:val="left"/>
      <w:pPr>
        <w:ind w:left="936" w:hanging="504"/>
      </w:pPr>
      <w:rPr>
        <w:rFonts w:hint="default"/>
        <w:strike w:val="0"/>
        <w:color w:val="auto"/>
      </w:rPr>
    </w:lvl>
    <w:lvl w:ilvl="1">
      <w:start w:val="1"/>
      <w:numFmt w:val="lowerLetter"/>
      <w:lvlText w:val="%2."/>
      <w:lvlJc w:val="left"/>
      <w:pPr>
        <w:ind w:left="2367" w:hanging="360"/>
      </w:pPr>
      <w:rPr>
        <w:rFonts w:hint="default"/>
      </w:rPr>
    </w:lvl>
    <w:lvl w:ilvl="2">
      <w:start w:val="1"/>
      <w:numFmt w:val="lowerRoman"/>
      <w:lvlText w:val="%3."/>
      <w:lvlJc w:val="right"/>
      <w:pPr>
        <w:ind w:left="3087" w:hanging="180"/>
      </w:pPr>
      <w:rPr>
        <w:rFonts w:hint="default"/>
      </w:rPr>
    </w:lvl>
    <w:lvl w:ilvl="3">
      <w:start w:val="1"/>
      <w:numFmt w:val="decimal"/>
      <w:lvlText w:val="%4."/>
      <w:lvlJc w:val="left"/>
      <w:pPr>
        <w:ind w:left="3807" w:hanging="360"/>
      </w:pPr>
      <w:rPr>
        <w:rFonts w:hint="default"/>
      </w:rPr>
    </w:lvl>
    <w:lvl w:ilvl="4">
      <w:start w:val="1"/>
      <w:numFmt w:val="lowerLetter"/>
      <w:lvlText w:val="%5."/>
      <w:lvlJc w:val="left"/>
      <w:pPr>
        <w:ind w:left="4527" w:hanging="360"/>
      </w:pPr>
      <w:rPr>
        <w:rFonts w:hint="default"/>
      </w:rPr>
    </w:lvl>
    <w:lvl w:ilvl="5">
      <w:start w:val="1"/>
      <w:numFmt w:val="lowerRoman"/>
      <w:lvlText w:val="%6."/>
      <w:lvlJc w:val="right"/>
      <w:pPr>
        <w:ind w:left="5247" w:hanging="180"/>
      </w:pPr>
      <w:rPr>
        <w:rFonts w:hint="default"/>
      </w:rPr>
    </w:lvl>
    <w:lvl w:ilvl="6">
      <w:start w:val="1"/>
      <w:numFmt w:val="decimal"/>
      <w:lvlText w:val="%7."/>
      <w:lvlJc w:val="left"/>
      <w:pPr>
        <w:ind w:left="5967" w:hanging="360"/>
      </w:pPr>
      <w:rPr>
        <w:rFonts w:hint="default"/>
      </w:rPr>
    </w:lvl>
    <w:lvl w:ilvl="7">
      <w:start w:val="1"/>
      <w:numFmt w:val="lowerLetter"/>
      <w:lvlText w:val="%8."/>
      <w:lvlJc w:val="left"/>
      <w:pPr>
        <w:ind w:left="6687" w:hanging="360"/>
      </w:pPr>
      <w:rPr>
        <w:rFonts w:hint="default"/>
      </w:rPr>
    </w:lvl>
    <w:lvl w:ilvl="8">
      <w:start w:val="1"/>
      <w:numFmt w:val="lowerRoman"/>
      <w:lvlText w:val="%9."/>
      <w:lvlJc w:val="right"/>
      <w:pPr>
        <w:ind w:left="7407" w:hanging="180"/>
      </w:pPr>
      <w:rPr>
        <w:rFonts w:hint="default"/>
      </w:rPr>
    </w:lvl>
  </w:abstractNum>
  <w:abstractNum w:abstractNumId="29" w15:restartNumberingAfterBreak="0">
    <w:nsid w:val="73E72C4F"/>
    <w:multiLevelType w:val="hybridMultilevel"/>
    <w:tmpl w:val="0FEAD9A6"/>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73F24938"/>
    <w:multiLevelType w:val="hybridMultilevel"/>
    <w:tmpl w:val="38C09FBA"/>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7A8D33DD"/>
    <w:multiLevelType w:val="multilevel"/>
    <w:tmpl w:val="43A439A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num w:numId="1" w16cid:durableId="590354331">
    <w:abstractNumId w:val="8"/>
  </w:num>
  <w:num w:numId="2" w16cid:durableId="1615671903">
    <w:abstractNumId w:val="11"/>
  </w:num>
  <w:num w:numId="3" w16cid:durableId="660961114">
    <w:abstractNumId w:val="29"/>
  </w:num>
  <w:num w:numId="4" w16cid:durableId="489441646">
    <w:abstractNumId w:val="30"/>
  </w:num>
  <w:num w:numId="5" w16cid:durableId="807017774">
    <w:abstractNumId w:val="25"/>
  </w:num>
  <w:num w:numId="6" w16cid:durableId="1141727781">
    <w:abstractNumId w:val="27"/>
  </w:num>
  <w:num w:numId="7" w16cid:durableId="1298025733">
    <w:abstractNumId w:val="10"/>
  </w:num>
  <w:num w:numId="8" w16cid:durableId="1064912801">
    <w:abstractNumId w:val="9"/>
  </w:num>
  <w:num w:numId="9" w16cid:durableId="17315529">
    <w:abstractNumId w:val="23"/>
  </w:num>
  <w:num w:numId="10" w16cid:durableId="1242833694">
    <w:abstractNumId w:val="6"/>
  </w:num>
  <w:num w:numId="11" w16cid:durableId="1471283522">
    <w:abstractNumId w:val="18"/>
  </w:num>
  <w:num w:numId="12" w16cid:durableId="729957018">
    <w:abstractNumId w:val="15"/>
  </w:num>
  <w:num w:numId="13" w16cid:durableId="1567953308">
    <w:abstractNumId w:val="17"/>
  </w:num>
  <w:num w:numId="14" w16cid:durableId="1246568270">
    <w:abstractNumId w:val="24"/>
  </w:num>
  <w:num w:numId="15" w16cid:durableId="159390927">
    <w:abstractNumId w:val="5"/>
  </w:num>
  <w:num w:numId="16" w16cid:durableId="48505544">
    <w:abstractNumId w:val="13"/>
  </w:num>
  <w:num w:numId="17" w16cid:durableId="884830503">
    <w:abstractNumId w:val="2"/>
  </w:num>
  <w:num w:numId="18" w16cid:durableId="1153522123">
    <w:abstractNumId w:val="28"/>
  </w:num>
  <w:num w:numId="19" w16cid:durableId="1569460174">
    <w:abstractNumId w:val="14"/>
  </w:num>
  <w:num w:numId="20" w16cid:durableId="647058113">
    <w:abstractNumId w:val="3"/>
  </w:num>
  <w:num w:numId="21" w16cid:durableId="2131583884">
    <w:abstractNumId w:val="22"/>
  </w:num>
  <w:num w:numId="22" w16cid:durableId="2023890555">
    <w:abstractNumId w:val="1"/>
  </w:num>
  <w:num w:numId="23" w16cid:durableId="1459228593">
    <w:abstractNumId w:val="21"/>
  </w:num>
  <w:num w:numId="24" w16cid:durableId="942493407">
    <w:abstractNumId w:val="0"/>
  </w:num>
  <w:num w:numId="25" w16cid:durableId="1285650593">
    <w:abstractNumId w:val="16"/>
  </w:num>
  <w:num w:numId="26" w16cid:durableId="740062526">
    <w:abstractNumId w:val="20"/>
  </w:num>
  <w:num w:numId="27" w16cid:durableId="1518688145">
    <w:abstractNumId w:val="19"/>
  </w:num>
  <w:num w:numId="28" w16cid:durableId="1653408272">
    <w:abstractNumId w:val="31"/>
  </w:num>
  <w:num w:numId="29" w16cid:durableId="628586915">
    <w:abstractNumId w:val="7"/>
  </w:num>
  <w:num w:numId="30" w16cid:durableId="208881861">
    <w:abstractNumId w:val="12"/>
  </w:num>
  <w:num w:numId="31" w16cid:durableId="325938029">
    <w:abstractNumId w:val="4"/>
  </w:num>
  <w:num w:numId="32" w16cid:durableId="1015379737">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66678"/>
    <w:rsid w:val="00082B63"/>
    <w:rsid w:val="000929E3"/>
    <w:rsid w:val="000A73C2"/>
    <w:rsid w:val="000E4B2D"/>
    <w:rsid w:val="001267B2"/>
    <w:rsid w:val="001A734B"/>
    <w:rsid w:val="001C10D8"/>
    <w:rsid w:val="00252071"/>
    <w:rsid w:val="00327586"/>
    <w:rsid w:val="003537E7"/>
    <w:rsid w:val="00392375"/>
    <w:rsid w:val="00403312"/>
    <w:rsid w:val="004060B6"/>
    <w:rsid w:val="004209D1"/>
    <w:rsid w:val="004A09A4"/>
    <w:rsid w:val="004E1F6C"/>
    <w:rsid w:val="0050250C"/>
    <w:rsid w:val="00544618"/>
    <w:rsid w:val="00547D7A"/>
    <w:rsid w:val="005943FD"/>
    <w:rsid w:val="00594B88"/>
    <w:rsid w:val="005C0EF4"/>
    <w:rsid w:val="005D76B7"/>
    <w:rsid w:val="005F5C84"/>
    <w:rsid w:val="00637F69"/>
    <w:rsid w:val="0068295A"/>
    <w:rsid w:val="00695286"/>
    <w:rsid w:val="006A67E7"/>
    <w:rsid w:val="006B4ECD"/>
    <w:rsid w:val="00703A79"/>
    <w:rsid w:val="0074402A"/>
    <w:rsid w:val="007C1EE4"/>
    <w:rsid w:val="007F7C6C"/>
    <w:rsid w:val="008435FF"/>
    <w:rsid w:val="008A52FA"/>
    <w:rsid w:val="008B0667"/>
    <w:rsid w:val="008C3CDC"/>
    <w:rsid w:val="0094191E"/>
    <w:rsid w:val="00955C80"/>
    <w:rsid w:val="0096550E"/>
    <w:rsid w:val="00995E74"/>
    <w:rsid w:val="00A92973"/>
    <w:rsid w:val="00B23E56"/>
    <w:rsid w:val="00BF4CFD"/>
    <w:rsid w:val="00C1391F"/>
    <w:rsid w:val="00CD5351"/>
    <w:rsid w:val="00D862BE"/>
    <w:rsid w:val="00E85E4D"/>
    <w:rsid w:val="00EA4A3D"/>
    <w:rsid w:val="00F27A53"/>
    <w:rsid w:val="00F70CB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34"/>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1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4814</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8</cp:revision>
  <dcterms:created xsi:type="dcterms:W3CDTF">2024-09-25T11:18:00Z</dcterms:created>
  <dcterms:modified xsi:type="dcterms:W3CDTF">2025-03-11T09:46:00Z</dcterms:modified>
</cp:coreProperties>
</file>